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94424E" w:rsidP="00D44968">
            <w:pPr>
              <w:suppressLineNumbers/>
              <w:jc w:val="both"/>
              <w:rPr>
                <w:rFonts w:ascii="Arial" w:hAnsi="Arial"/>
                <w:b/>
                <w:bCs/>
                <w:sz w:val="26"/>
                <w:szCs w:val="26"/>
                <w:rtl/>
              </w:rPr>
            </w:pPr>
            <w:r w:rsidRPr="00DD05A8">
              <w:rPr>
                <w:rFonts w:ascii="Arial" w:hAnsi="Arial" w:hint="cs"/>
                <w:b/>
                <w:bCs/>
                <w:sz w:val="26"/>
                <w:szCs w:val="26"/>
                <w:rtl/>
              </w:rPr>
              <w:t>ב</w:t>
            </w:r>
            <w:r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שופטת</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אספרנצה אלון</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B84018" w:rsidRDefault="004D6FE2" w:rsidP="004D6FE2">
                <w:pPr>
                  <w:suppressLineNumbers/>
                  <w:rPr>
                    <w:rFonts w:ascii="Arial" w:hAnsi="Arial"/>
                    <w:b/>
                    <w:bCs/>
                    <w:noProof w:val="0"/>
                    <w:sz w:val="26"/>
                    <w:szCs w:val="26"/>
                    <w:rtl/>
                  </w:rPr>
                </w:pPr>
                <w:r>
                  <w:rPr>
                    <w:rFonts w:ascii="Arial" w:hAnsi="Arial" w:hint="cs"/>
                    <w:b/>
                    <w:bCs/>
                    <w:noProof w:val="0"/>
                    <w:sz w:val="26"/>
                    <w:szCs w:val="26"/>
                    <w:rtl/>
                  </w:rPr>
                  <w:t>המערערת</w:t>
                </w:r>
              </w:p>
            </w:sdtContent>
          </w:sdt>
        </w:tc>
        <w:tc>
          <w:tcPr>
            <w:tcW w:w="5571" w:type="dxa"/>
          </w:tcPr>
          <w:p w:rsidR="0094424E" w:rsidRDefault="0094424E" w:rsidP="00D44968">
            <w:pPr>
              <w:suppressLineNumbers/>
              <w:rPr>
                <w:rFonts w:ascii="Arial" w:hAnsi="Arial"/>
                <w:b/>
                <w:bCs/>
                <w:noProof w:val="0"/>
                <w:sz w:val="26"/>
                <w:szCs w:val="26"/>
                <w:rtl/>
              </w:rPr>
            </w:pPr>
          </w:p>
          <w:p w:rsidR="004D6FE2" w:rsidRDefault="007C2453" w:rsidP="001366EC">
            <w:pPr>
              <w:suppressLineNumbers/>
              <w:rPr>
                <w:rFonts w:ascii="Arial" w:hAnsi="Arial"/>
                <w:b/>
                <w:bCs/>
                <w:noProof w:val="0"/>
                <w:sz w:val="26"/>
                <w:szCs w:val="26"/>
                <w:rtl/>
              </w:rPr>
            </w:pPr>
            <w:r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B859C5">
                  <w:rPr>
                    <w:rFonts w:ascii="Arial" w:hAnsi="Arial" w:hint="eastAsia"/>
                    <w:b/>
                    <w:bCs/>
                    <w:noProof w:val="0"/>
                    <w:sz w:val="26"/>
                    <w:szCs w:val="26"/>
                    <w:rtl/>
                  </w:rPr>
                  <w:t>פ</w:t>
                </w:r>
                <w:r w:rsidR="001366EC">
                  <w:rPr>
                    <w:rFonts w:ascii="Arial" w:hAnsi="Arial" w:hint="cs"/>
                    <w:b/>
                    <w:bCs/>
                    <w:noProof w:val="0"/>
                    <w:sz w:val="26"/>
                    <w:szCs w:val="26"/>
                    <w:rtl/>
                  </w:rPr>
                  <w:t>'</w:t>
                </w:r>
              </w:sdtContent>
            </w:sdt>
            <w:r w:rsidR="00B859C5">
              <w:rPr>
                <w:rFonts w:hint="cs"/>
                <w:rtl/>
              </w:rPr>
              <w:t xml:space="preserve"> </w:t>
            </w:r>
          </w:p>
          <w:p w:rsidR="0094424E" w:rsidRDefault="00B859C5" w:rsidP="007C2453">
            <w:pPr>
              <w:suppressLineNumbers/>
              <w:rPr>
                <w:b/>
                <w:bCs/>
                <w:noProof w:val="0"/>
                <w:sz w:val="26"/>
                <w:szCs w:val="26"/>
              </w:rPr>
            </w:pPr>
            <w:r>
              <w:rPr>
                <w:rFonts w:ascii="Arial" w:hAnsi="Arial"/>
                <w:b/>
                <w:bCs/>
                <w:noProof w:val="0"/>
                <w:sz w:val="26"/>
                <w:szCs w:val="26"/>
                <w:rtl/>
              </w:rPr>
              <w:t>ע"י ב"כ עוה"ד</w:t>
            </w:r>
            <w:r w:rsidR="004D6FE2">
              <w:rPr>
                <w:rFonts w:hint="cs"/>
                <w:b/>
                <w:bCs/>
                <w:noProof w:val="0"/>
                <w:sz w:val="26"/>
                <w:szCs w:val="26"/>
                <w:rtl/>
              </w:rPr>
              <w:t xml:space="preserve"> יעל טוב אל</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291968" w:rsidP="004D6FE2">
            <w:pPr>
              <w:suppressLineNumbers/>
              <w:rPr>
                <w:rFonts w:ascii="Arial" w:hAnsi="Arial"/>
                <w:b/>
                <w:bCs/>
                <w:noProof w:val="0"/>
                <w:sz w:val="26"/>
                <w:szCs w:val="26"/>
              </w:rPr>
            </w:pPr>
            <w:sdt>
              <w:sdtPr>
                <w:rPr>
                  <w:rtl/>
                </w:rPr>
                <w:alias w:val="1184"/>
                <w:tag w:val="1184"/>
                <w:id w:val="-340621022"/>
                <w:text w:multiLine="1"/>
              </w:sdtPr>
              <w:sdtEndPr/>
              <w:sdtContent>
                <w:r w:rsidR="004D6FE2">
                  <w:rPr>
                    <w:rFonts w:ascii="Arial" w:hAnsi="Arial" w:hint="cs"/>
                    <w:b/>
                    <w:bCs/>
                    <w:noProof w:val="0"/>
                    <w:sz w:val="26"/>
                    <w:szCs w:val="26"/>
                    <w:rtl/>
                  </w:rPr>
                  <w:t>המשיבים</w:t>
                </w:r>
              </w:sdtContent>
            </w:sdt>
          </w:p>
        </w:tc>
        <w:tc>
          <w:tcPr>
            <w:tcW w:w="5571" w:type="dxa"/>
          </w:tcPr>
          <w:p w:rsidR="004D6FE2" w:rsidRDefault="004D6FE2" w:rsidP="001366EC">
            <w:pPr>
              <w:suppressLineNumbers/>
              <w:rPr>
                <w:rFonts w:ascii="Arial" w:hAnsi="Arial"/>
                <w:b/>
                <w:bCs/>
                <w:sz w:val="26"/>
                <w:szCs w:val="26"/>
                <w:rtl/>
              </w:rPr>
            </w:pPr>
            <w:r w:rsidRPr="004D6FE2">
              <w:rPr>
                <w:rFonts w:ascii="Arial" w:hAnsi="Arial" w:hint="eastAsia"/>
                <w:b/>
                <w:bCs/>
                <w:noProof w:val="0"/>
                <w:sz w:val="26"/>
                <w:szCs w:val="26"/>
                <w:rtl/>
              </w:rPr>
              <w:t>1</w:t>
            </w:r>
            <w:r w:rsidR="00701E04">
              <w:rPr>
                <w:rFonts w:ascii="Arial" w:hAnsi="Arial" w:hint="cs"/>
                <w:b/>
                <w:bCs/>
                <w:sz w:val="26"/>
                <w:szCs w:val="26"/>
                <w:rtl/>
              </w:rPr>
              <w:t xml:space="preserve">. </w:t>
            </w:r>
            <w:sdt>
              <w:sdtPr>
                <w:rPr>
                  <w:rFonts w:ascii="Arial" w:hAnsi="Arial" w:hint="cs"/>
                  <w:b/>
                  <w:bCs/>
                  <w:sz w:val="26"/>
                  <w:szCs w:val="26"/>
                  <w:rtl/>
                </w:rPr>
                <w:alias w:val="3152"/>
                <w:tag w:val="3152"/>
                <w:id w:val="1920052440"/>
                <w:placeholder>
                  <w:docPart w:val="C3B0FBA23B684176B12DDEEA2C39785F"/>
                </w:placeholder>
                <w:text w:multiLine="1"/>
              </w:sdtPr>
              <w:sdtEndPr/>
              <w:sdtContent>
                <w:r w:rsidR="00B859C5" w:rsidRPr="004D6FE2">
                  <w:rPr>
                    <w:rFonts w:ascii="Arial" w:hAnsi="Arial" w:hint="eastAsia"/>
                    <w:b/>
                    <w:bCs/>
                    <w:sz w:val="26"/>
                    <w:szCs w:val="26"/>
                    <w:rtl/>
                  </w:rPr>
                  <w:t>פ</w:t>
                </w:r>
                <w:r w:rsidR="001366EC">
                  <w:rPr>
                    <w:rFonts w:ascii="Arial" w:hAnsi="Arial" w:hint="cs"/>
                    <w:b/>
                    <w:bCs/>
                    <w:sz w:val="26"/>
                    <w:szCs w:val="26"/>
                    <w:rtl/>
                  </w:rPr>
                  <w:t>'</w:t>
                </w:r>
              </w:sdtContent>
            </w:sdt>
            <w:r w:rsidR="00B859C5">
              <w:rPr>
                <w:rFonts w:hint="cs"/>
                <w:rtl/>
              </w:rPr>
              <w:t xml:space="preserve"> </w:t>
            </w:r>
          </w:p>
          <w:p w:rsidR="00CF6BB7" w:rsidRPr="002B7003" w:rsidRDefault="00B859C5" w:rsidP="004D6FE2">
            <w:pPr>
              <w:suppressLineNumbers/>
              <w:rPr>
                <w:b/>
                <w:bCs/>
                <w:rtl/>
              </w:rPr>
            </w:pPr>
            <w:r w:rsidRPr="002B7003">
              <w:rPr>
                <w:rFonts w:ascii="Arial" w:hAnsi="Arial"/>
                <w:b/>
                <w:bCs/>
                <w:sz w:val="26"/>
                <w:szCs w:val="26"/>
                <w:rtl/>
              </w:rPr>
              <w:t>ע"י ב"כ עוה"ד</w:t>
            </w:r>
            <w:r w:rsidR="003B1428" w:rsidRPr="002B7003">
              <w:rPr>
                <w:rFonts w:ascii="Arial" w:hAnsi="Arial" w:hint="cs"/>
                <w:b/>
                <w:bCs/>
                <w:sz w:val="26"/>
                <w:szCs w:val="26"/>
                <w:rtl/>
              </w:rPr>
              <w:t xml:space="preserve"> </w:t>
            </w:r>
            <w:r w:rsidR="003B1428" w:rsidRPr="002B7003">
              <w:rPr>
                <w:rFonts w:hint="cs"/>
                <w:b/>
                <w:bCs/>
                <w:rtl/>
              </w:rPr>
              <w:t>נחמי פיינבלט</w:t>
            </w:r>
          </w:p>
          <w:p w:rsidR="004D6FE2" w:rsidRPr="002B7003" w:rsidRDefault="004D6FE2" w:rsidP="004D6FE2">
            <w:pPr>
              <w:rPr>
                <w:b/>
                <w:bCs/>
                <w:rtl/>
              </w:rPr>
            </w:pPr>
          </w:p>
          <w:p w:rsidR="004D6FE2" w:rsidRPr="002B7003" w:rsidRDefault="00291968" w:rsidP="001366EC">
            <w:pPr>
              <w:suppressLineNumbers/>
              <w:rPr>
                <w:rFonts w:ascii="Arial" w:hAnsi="Arial"/>
                <w:b/>
                <w:bCs/>
                <w:noProof w:val="0"/>
                <w:sz w:val="26"/>
                <w:szCs w:val="26"/>
                <w:rtl/>
              </w:rPr>
            </w:pPr>
            <w:sdt>
              <w:sdtPr>
                <w:rPr>
                  <w:b/>
                  <w:bCs/>
                  <w:rtl/>
                </w:rPr>
                <w:alias w:val="1571"/>
                <w:tag w:val="1571"/>
                <w:id w:val="1054660747"/>
                <w:text w:multiLine="1"/>
              </w:sdtPr>
              <w:sdtEndPr/>
              <w:sdtContent>
                <w:r w:rsidR="00B859C5" w:rsidRPr="002B7003">
                  <w:rPr>
                    <w:rFonts w:ascii="Arial" w:hAnsi="Arial"/>
                    <w:b/>
                    <w:bCs/>
                    <w:noProof w:val="0"/>
                    <w:sz w:val="26"/>
                    <w:szCs w:val="26"/>
                    <w:rtl/>
                  </w:rPr>
                  <w:t>2</w:t>
                </w:r>
              </w:sdtContent>
            </w:sdt>
            <w:r w:rsidR="0094424E" w:rsidRPr="002B7003">
              <w:rPr>
                <w:rFonts w:ascii="Arial" w:hAnsi="Arial"/>
                <w:b/>
                <w:bCs/>
                <w:noProof w:val="0"/>
                <w:sz w:val="26"/>
                <w:szCs w:val="26"/>
                <w:rtl/>
              </w:rPr>
              <w:t>.</w:t>
            </w:r>
            <w:r w:rsidR="007C2453" w:rsidRPr="002B7003">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2077822969"/>
                <w:placeholder>
                  <w:docPart w:val="C3B0FBA23B684176B12DDEEA2C39785F"/>
                </w:placeholder>
                <w:text w:multiLine="1"/>
              </w:sdtPr>
              <w:sdtEndPr/>
              <w:sdtContent>
                <w:r w:rsidR="00B859C5" w:rsidRPr="002B7003">
                  <w:rPr>
                    <w:rFonts w:ascii="Arial" w:hAnsi="Arial" w:hint="eastAsia"/>
                    <w:b/>
                    <w:bCs/>
                    <w:noProof w:val="0"/>
                    <w:sz w:val="26"/>
                    <w:szCs w:val="26"/>
                    <w:rtl/>
                  </w:rPr>
                  <w:t>ח</w:t>
                </w:r>
                <w:r w:rsidR="001366EC">
                  <w:rPr>
                    <w:rFonts w:ascii="Arial" w:hAnsi="Arial" w:hint="cs"/>
                    <w:b/>
                    <w:bCs/>
                    <w:noProof w:val="0"/>
                    <w:sz w:val="26"/>
                    <w:szCs w:val="26"/>
                    <w:rtl/>
                  </w:rPr>
                  <w:t>'</w:t>
                </w:r>
              </w:sdtContent>
            </w:sdt>
            <w:r w:rsidR="00B859C5" w:rsidRPr="002B7003">
              <w:rPr>
                <w:rFonts w:hint="cs"/>
                <w:b/>
                <w:bCs/>
                <w:rtl/>
              </w:rPr>
              <w:t xml:space="preserve"> </w:t>
            </w:r>
          </w:p>
          <w:p w:rsidR="00CF6BB7" w:rsidRPr="00701E04" w:rsidRDefault="00B859C5" w:rsidP="007C2453">
            <w:pPr>
              <w:suppressLineNumbers/>
              <w:rPr>
                <w:rtl/>
              </w:rPr>
            </w:pPr>
            <w:r w:rsidRPr="002B7003">
              <w:rPr>
                <w:rFonts w:ascii="Arial" w:hAnsi="Arial"/>
                <w:b/>
                <w:bCs/>
                <w:noProof w:val="0"/>
                <w:rtl/>
              </w:rPr>
              <w:t>ע"י ב"כ עוה"ד</w:t>
            </w:r>
            <w:r w:rsidR="00701E04" w:rsidRPr="002B7003">
              <w:rPr>
                <w:rFonts w:hint="cs"/>
                <w:b/>
                <w:bCs/>
                <w:rtl/>
              </w:rPr>
              <w:t xml:space="preserve"> לוטם ברלה</w:t>
            </w: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D44968" w:rsidRPr="00D44968" w:rsidRDefault="003E38C7" w:rsidP="004D6FE2">
            <w:pPr>
              <w:bidi w:val="0"/>
              <w:jc w:val="center"/>
              <w:rPr>
                <w:rFonts w:ascii="Arial" w:hAnsi="Arial"/>
                <w:b/>
                <w:bCs/>
                <w:noProof w:val="0"/>
                <w:sz w:val="28"/>
                <w:szCs w:val="28"/>
                <w:u w:val="single"/>
              </w:rPr>
            </w:pPr>
            <w:r>
              <w:rPr>
                <w:rFonts w:ascii="Arial" w:hAnsi="Arial" w:hint="cs"/>
                <w:b/>
                <w:bCs/>
                <w:noProof w:val="0"/>
                <w:sz w:val="28"/>
                <w:szCs w:val="28"/>
                <w:u w:val="single"/>
                <w:rtl/>
              </w:rPr>
              <w:t>פסק דין</w:t>
            </w:r>
          </w:p>
        </w:tc>
      </w:tr>
    </w:tbl>
    <w:p w:rsidR="00694556" w:rsidRDefault="00694556">
      <w:pPr>
        <w:spacing w:line="360" w:lineRule="auto"/>
        <w:jc w:val="both"/>
        <w:rPr>
          <w:rFonts w:ascii="Arial" w:hAnsi="Arial"/>
          <w:noProof w:val="0"/>
          <w:rtl/>
        </w:rPr>
      </w:pPr>
      <w:bookmarkStart w:id="0" w:name="NGCSBookmark"/>
      <w:bookmarkEnd w:id="0"/>
    </w:p>
    <w:p w:rsidR="004D6FE2" w:rsidRDefault="004D6FE2" w:rsidP="004D6FE2">
      <w:pPr>
        <w:rPr>
          <w:rFonts w:ascii="David" w:hAnsi="David"/>
          <w:b/>
          <w:bCs/>
          <w:noProof w:val="0"/>
          <w:u w:val="single"/>
        </w:rPr>
      </w:pPr>
    </w:p>
    <w:p w:rsidR="004D6FE2" w:rsidRDefault="004D6FE2" w:rsidP="00120CEA">
      <w:pPr>
        <w:pStyle w:val="ad"/>
        <w:numPr>
          <w:ilvl w:val="0"/>
          <w:numId w:val="1"/>
        </w:numPr>
        <w:spacing w:line="360" w:lineRule="auto"/>
        <w:ind w:left="84"/>
        <w:jc w:val="both"/>
        <w:rPr>
          <w:rFonts w:ascii="David" w:hAnsi="David" w:cs="David"/>
          <w:color w:val="000000"/>
          <w:sz w:val="24"/>
          <w:szCs w:val="24"/>
        </w:rPr>
      </w:pPr>
      <w:r>
        <w:rPr>
          <w:rFonts w:ascii="David" w:hAnsi="David" w:cs="David" w:hint="cs"/>
          <w:color w:val="000000"/>
          <w:sz w:val="24"/>
          <w:szCs w:val="24"/>
          <w:rtl/>
        </w:rPr>
        <w:t>זו הודעת ערעור שהגישה המערערת, בגירה כבת 20, על החלטת בית משפט השלום בקריות (כב' השופט צבי כוחן) בתיק ה"ט 21550-04-23 מיום 20.04.2023 (להלן: "</w:t>
      </w:r>
      <w:r w:rsidRPr="004D6FE2">
        <w:rPr>
          <w:rFonts w:ascii="David" w:hAnsi="David" w:cs="David" w:hint="cs"/>
          <w:b/>
          <w:bCs/>
          <w:color w:val="000000"/>
          <w:sz w:val="24"/>
          <w:szCs w:val="24"/>
          <w:rtl/>
        </w:rPr>
        <w:t>בית משפט קמא</w:t>
      </w:r>
      <w:r>
        <w:rPr>
          <w:rFonts w:ascii="David" w:hAnsi="David" w:cs="David" w:hint="cs"/>
          <w:color w:val="000000"/>
          <w:sz w:val="24"/>
          <w:szCs w:val="24"/>
          <w:rtl/>
        </w:rPr>
        <w:t>") ב</w:t>
      </w:r>
      <w:r w:rsidR="00C81646">
        <w:rPr>
          <w:rFonts w:ascii="David" w:hAnsi="David" w:cs="David" w:hint="cs"/>
          <w:color w:val="000000"/>
          <w:sz w:val="24"/>
          <w:szCs w:val="24"/>
          <w:rtl/>
        </w:rPr>
        <w:t xml:space="preserve">גדרה </w:t>
      </w:r>
      <w:r>
        <w:rPr>
          <w:rFonts w:ascii="David" w:hAnsi="David" w:cs="David" w:hint="cs"/>
          <w:color w:val="000000"/>
          <w:sz w:val="24"/>
          <w:szCs w:val="24"/>
          <w:rtl/>
        </w:rPr>
        <w:t xml:space="preserve">נדחתה בקשת המערערת לביטול כל ההוראות </w:t>
      </w:r>
      <w:r w:rsidR="00120CEA">
        <w:rPr>
          <w:rFonts w:ascii="David" w:hAnsi="David" w:cs="David" w:hint="cs"/>
          <w:color w:val="000000"/>
          <w:sz w:val="24"/>
          <w:szCs w:val="24"/>
          <w:rtl/>
        </w:rPr>
        <w:t xml:space="preserve">הנוגעות אליה והאוסרות על המשיב 2 ליצור כל קשר בעל פה, בכתב ו/או בכל אמצעי אחר עמה, וכן להימצא במרחק של פחות מ-100 מטר מדירת מגוריה, מרכבה וממקום עבודתה. הוראות אלו ניתנו </w:t>
      </w:r>
      <w:r>
        <w:rPr>
          <w:rFonts w:ascii="David" w:hAnsi="David" w:cs="David" w:hint="cs"/>
          <w:color w:val="000000"/>
          <w:sz w:val="24"/>
          <w:szCs w:val="24"/>
          <w:rtl/>
        </w:rPr>
        <w:t>במסגרת צו למניעת הטרדה מאיימת שהגישה המשיבה 1, אמה</w:t>
      </w:r>
      <w:r w:rsidR="008678F8">
        <w:rPr>
          <w:rFonts w:ascii="David" w:hAnsi="David" w:cs="David" w:hint="cs"/>
          <w:color w:val="000000"/>
          <w:sz w:val="24"/>
          <w:szCs w:val="24"/>
          <w:rtl/>
        </w:rPr>
        <w:t xml:space="preserve"> של המערערת</w:t>
      </w:r>
      <w:r>
        <w:rPr>
          <w:rFonts w:ascii="David" w:hAnsi="David" w:cs="David" w:hint="cs"/>
          <w:color w:val="000000"/>
          <w:sz w:val="24"/>
          <w:szCs w:val="24"/>
          <w:rtl/>
        </w:rPr>
        <w:t xml:space="preserve">, כנגד המשיב 2 </w:t>
      </w:r>
      <w:r w:rsidR="00120CEA">
        <w:rPr>
          <w:rFonts w:ascii="David" w:hAnsi="David" w:cs="David" w:hint="cs"/>
          <w:color w:val="000000"/>
          <w:sz w:val="24"/>
          <w:szCs w:val="24"/>
          <w:rtl/>
        </w:rPr>
        <w:t xml:space="preserve">ובהסכמתו </w:t>
      </w:r>
      <w:r>
        <w:rPr>
          <w:rFonts w:ascii="David" w:hAnsi="David" w:cs="David" w:hint="cs"/>
          <w:color w:val="000000"/>
          <w:sz w:val="24"/>
          <w:szCs w:val="24"/>
          <w:rtl/>
        </w:rPr>
        <w:t>(להלן: "</w:t>
      </w:r>
      <w:r w:rsidRPr="004D6FE2">
        <w:rPr>
          <w:rFonts w:ascii="David" w:hAnsi="David" w:cs="David" w:hint="cs"/>
          <w:b/>
          <w:bCs/>
          <w:color w:val="000000"/>
          <w:sz w:val="24"/>
          <w:szCs w:val="24"/>
          <w:rtl/>
        </w:rPr>
        <w:t>צו בית</w:t>
      </w:r>
      <w:r>
        <w:rPr>
          <w:rFonts w:ascii="David" w:hAnsi="David" w:cs="David" w:hint="cs"/>
          <w:color w:val="000000"/>
          <w:sz w:val="24"/>
          <w:szCs w:val="24"/>
          <w:rtl/>
        </w:rPr>
        <w:t xml:space="preserve"> </w:t>
      </w:r>
      <w:r>
        <w:rPr>
          <w:rFonts w:ascii="David" w:hAnsi="David" w:cs="David" w:hint="cs"/>
          <w:b/>
          <w:bCs/>
          <w:color w:val="000000"/>
          <w:sz w:val="24"/>
          <w:szCs w:val="24"/>
          <w:rtl/>
        </w:rPr>
        <w:t>משפט קמא</w:t>
      </w:r>
      <w:r>
        <w:rPr>
          <w:rFonts w:ascii="David" w:hAnsi="David" w:cs="David" w:hint="cs"/>
          <w:color w:val="000000"/>
          <w:sz w:val="24"/>
          <w:szCs w:val="24"/>
          <w:rtl/>
        </w:rPr>
        <w:t>").</w:t>
      </w:r>
    </w:p>
    <w:p w:rsidR="004D6FE2" w:rsidRPr="004D6FE2" w:rsidRDefault="004D6FE2" w:rsidP="004D6FE2">
      <w:pPr>
        <w:pStyle w:val="ad"/>
        <w:spacing w:line="360" w:lineRule="auto"/>
        <w:ind w:left="84"/>
        <w:jc w:val="both"/>
        <w:rPr>
          <w:rFonts w:ascii="David" w:hAnsi="David" w:cs="David"/>
          <w:color w:val="000000"/>
          <w:sz w:val="24"/>
          <w:szCs w:val="24"/>
        </w:rPr>
      </w:pPr>
    </w:p>
    <w:p w:rsidR="004D6FE2" w:rsidRDefault="004D6FE2" w:rsidP="00120CEA">
      <w:pPr>
        <w:pStyle w:val="ad"/>
        <w:numPr>
          <w:ilvl w:val="0"/>
          <w:numId w:val="1"/>
        </w:numPr>
        <w:spacing w:line="360" w:lineRule="auto"/>
        <w:ind w:left="84"/>
        <w:jc w:val="both"/>
        <w:rPr>
          <w:rFonts w:ascii="David" w:hAnsi="David" w:cs="David"/>
          <w:color w:val="000000"/>
          <w:sz w:val="24"/>
          <w:szCs w:val="24"/>
        </w:rPr>
      </w:pPr>
      <w:r w:rsidRPr="004D6FE2">
        <w:rPr>
          <w:rFonts w:ascii="David" w:hAnsi="David" w:cs="David"/>
          <w:color w:val="000000"/>
          <w:sz w:val="24"/>
          <w:szCs w:val="24"/>
          <w:rtl/>
        </w:rPr>
        <w:t>המערערת לא הייתה צד ל</w:t>
      </w:r>
      <w:r w:rsidR="00120CEA">
        <w:rPr>
          <w:rFonts w:ascii="David" w:hAnsi="David" w:cs="David"/>
          <w:color w:val="000000"/>
          <w:sz w:val="24"/>
          <w:szCs w:val="24"/>
          <w:rtl/>
        </w:rPr>
        <w:t>הליך שהתקיים בפני בית משפט קמא</w:t>
      </w:r>
      <w:r w:rsidR="00120CEA">
        <w:rPr>
          <w:rFonts w:ascii="David" w:hAnsi="David" w:cs="David" w:hint="cs"/>
          <w:color w:val="000000"/>
          <w:sz w:val="24"/>
          <w:szCs w:val="24"/>
          <w:rtl/>
        </w:rPr>
        <w:t xml:space="preserve">. המערערת </w:t>
      </w:r>
      <w:r>
        <w:rPr>
          <w:rFonts w:ascii="David" w:hAnsi="David" w:cs="David"/>
          <w:color w:val="000000"/>
          <w:sz w:val="24"/>
          <w:szCs w:val="24"/>
          <w:rtl/>
        </w:rPr>
        <w:t xml:space="preserve">טענה בפני בית </w:t>
      </w:r>
      <w:r w:rsidRPr="004D6FE2">
        <w:rPr>
          <w:rFonts w:ascii="David" w:hAnsi="David" w:cs="David"/>
          <w:color w:val="000000"/>
          <w:sz w:val="24"/>
          <w:szCs w:val="24"/>
          <w:rtl/>
        </w:rPr>
        <w:t xml:space="preserve">משפט </w:t>
      </w:r>
      <w:r>
        <w:rPr>
          <w:rFonts w:ascii="David" w:hAnsi="David" w:cs="David" w:hint="cs"/>
          <w:color w:val="000000"/>
          <w:sz w:val="24"/>
          <w:szCs w:val="24"/>
          <w:rtl/>
        </w:rPr>
        <w:t xml:space="preserve">קמא </w:t>
      </w:r>
      <w:r w:rsidRPr="004D6FE2">
        <w:rPr>
          <w:rFonts w:ascii="David" w:hAnsi="David" w:cs="David"/>
          <w:color w:val="000000"/>
          <w:sz w:val="24"/>
          <w:szCs w:val="24"/>
          <w:rtl/>
        </w:rPr>
        <w:t xml:space="preserve">כי צו </w:t>
      </w:r>
      <w:r w:rsidR="00120CEA">
        <w:rPr>
          <w:rFonts w:ascii="David" w:hAnsi="David" w:cs="David" w:hint="cs"/>
          <w:color w:val="000000"/>
          <w:sz w:val="24"/>
          <w:szCs w:val="24"/>
          <w:rtl/>
        </w:rPr>
        <w:t>בית משפט קמא, ש</w:t>
      </w:r>
      <w:r w:rsidRPr="004D6FE2">
        <w:rPr>
          <w:rFonts w:ascii="David" w:hAnsi="David" w:cs="David"/>
          <w:color w:val="000000"/>
          <w:sz w:val="24"/>
          <w:szCs w:val="24"/>
          <w:rtl/>
        </w:rPr>
        <w:t xml:space="preserve">הוצא </w:t>
      </w:r>
      <w:r w:rsidR="00120CEA">
        <w:rPr>
          <w:rFonts w:ascii="David" w:hAnsi="David" w:cs="David" w:hint="cs"/>
          <w:color w:val="000000"/>
          <w:sz w:val="24"/>
          <w:szCs w:val="24"/>
          <w:rtl/>
        </w:rPr>
        <w:t xml:space="preserve">לכאורה לטובתה, הוצא </w:t>
      </w:r>
      <w:r w:rsidRPr="004D6FE2">
        <w:rPr>
          <w:rFonts w:ascii="David" w:hAnsi="David" w:cs="David"/>
          <w:color w:val="000000"/>
          <w:sz w:val="24"/>
          <w:szCs w:val="24"/>
          <w:rtl/>
        </w:rPr>
        <w:t>שלא בידיעתה ושלא בהסכמתה, מבלי שניתנה לה זכות התגובה לטענות שנשמעו</w:t>
      </w:r>
      <w:r w:rsidR="00120CEA">
        <w:rPr>
          <w:rFonts w:ascii="David" w:hAnsi="David" w:cs="David"/>
          <w:color w:val="000000"/>
          <w:sz w:val="24"/>
          <w:szCs w:val="24"/>
          <w:rtl/>
        </w:rPr>
        <w:t xml:space="preserve"> והועלו על ידי אמה ו/או המשיב 2</w:t>
      </w:r>
      <w:r w:rsidR="00120CEA">
        <w:rPr>
          <w:rFonts w:ascii="David" w:hAnsi="David" w:cs="David" w:hint="cs"/>
          <w:color w:val="000000"/>
          <w:sz w:val="24"/>
          <w:szCs w:val="24"/>
          <w:rtl/>
        </w:rPr>
        <w:t>.</w:t>
      </w:r>
      <w:r w:rsidRPr="004D6FE2">
        <w:rPr>
          <w:rFonts w:ascii="David" w:hAnsi="David" w:cs="David"/>
          <w:color w:val="000000"/>
          <w:sz w:val="24"/>
          <w:szCs w:val="24"/>
          <w:rtl/>
        </w:rPr>
        <w:t xml:space="preserve"> </w:t>
      </w:r>
      <w:r w:rsidR="00120CEA">
        <w:rPr>
          <w:rFonts w:ascii="David" w:hAnsi="David" w:cs="David" w:hint="cs"/>
          <w:color w:val="000000"/>
          <w:sz w:val="24"/>
          <w:szCs w:val="24"/>
          <w:rtl/>
        </w:rPr>
        <w:t xml:space="preserve">לעמדתה, האופן שנוהל ההליך </w:t>
      </w:r>
      <w:r w:rsidRPr="004D6FE2">
        <w:rPr>
          <w:rFonts w:ascii="David" w:hAnsi="David" w:cs="David"/>
          <w:color w:val="000000"/>
          <w:sz w:val="24"/>
          <w:szCs w:val="24"/>
          <w:rtl/>
        </w:rPr>
        <w:t xml:space="preserve">פוגע בצורה אנושה בזכויות היסוד שלה, לרבות הזכות לחירות לנהל חייה בצורה בה תבחר לעשות. </w:t>
      </w:r>
      <w:r>
        <w:rPr>
          <w:rFonts w:ascii="David" w:hAnsi="David" w:cs="David"/>
          <w:color w:val="000000"/>
          <w:sz w:val="24"/>
          <w:szCs w:val="24"/>
          <w:rtl/>
        </w:rPr>
        <w:t xml:space="preserve">לאור כל האמור, התבקש בית </w:t>
      </w:r>
      <w:r w:rsidRPr="004D6FE2">
        <w:rPr>
          <w:rFonts w:ascii="David" w:hAnsi="David" w:cs="David"/>
          <w:color w:val="000000"/>
          <w:sz w:val="24"/>
          <w:szCs w:val="24"/>
          <w:rtl/>
        </w:rPr>
        <w:t xml:space="preserve">משפט </w:t>
      </w:r>
      <w:r>
        <w:rPr>
          <w:rFonts w:ascii="David" w:hAnsi="David" w:cs="David" w:hint="cs"/>
          <w:color w:val="000000"/>
          <w:sz w:val="24"/>
          <w:szCs w:val="24"/>
          <w:rtl/>
        </w:rPr>
        <w:t xml:space="preserve">קמא </w:t>
      </w:r>
      <w:r w:rsidRPr="004D6FE2">
        <w:rPr>
          <w:rFonts w:ascii="David" w:hAnsi="David" w:cs="David"/>
          <w:color w:val="000000"/>
          <w:sz w:val="24"/>
          <w:szCs w:val="24"/>
          <w:rtl/>
        </w:rPr>
        <w:t>להורות על ביטול ההוראות שהתייחסו למערערת.</w:t>
      </w:r>
    </w:p>
    <w:p w:rsidR="004D6FE2" w:rsidRPr="004D6FE2" w:rsidRDefault="004D6FE2" w:rsidP="004D6FE2">
      <w:pPr>
        <w:pStyle w:val="ad"/>
        <w:rPr>
          <w:rFonts w:ascii="David" w:hAnsi="David" w:cs="David"/>
          <w:color w:val="000000"/>
          <w:sz w:val="24"/>
          <w:szCs w:val="24"/>
          <w:rtl/>
        </w:rPr>
      </w:pPr>
    </w:p>
    <w:p w:rsidR="004D6FE2" w:rsidRDefault="004D6FE2" w:rsidP="004D6FE2">
      <w:pPr>
        <w:pStyle w:val="ad"/>
        <w:numPr>
          <w:ilvl w:val="0"/>
          <w:numId w:val="1"/>
        </w:numPr>
        <w:spacing w:line="360" w:lineRule="auto"/>
        <w:ind w:left="84"/>
        <w:jc w:val="both"/>
        <w:rPr>
          <w:rFonts w:ascii="David" w:hAnsi="David" w:cs="David"/>
          <w:color w:val="000000"/>
          <w:sz w:val="24"/>
          <w:szCs w:val="24"/>
        </w:rPr>
      </w:pPr>
      <w:r>
        <w:rPr>
          <w:rFonts w:ascii="David" w:hAnsi="David" w:cs="David" w:hint="cs"/>
          <w:color w:val="000000"/>
          <w:sz w:val="24"/>
          <w:szCs w:val="24"/>
          <w:rtl/>
        </w:rPr>
        <w:t xml:space="preserve">בית משפט קמא </w:t>
      </w:r>
      <w:r w:rsidR="003B1428">
        <w:rPr>
          <w:rFonts w:ascii="David" w:hAnsi="David" w:cs="David" w:hint="cs"/>
          <w:color w:val="000000"/>
          <w:sz w:val="24"/>
          <w:szCs w:val="24"/>
          <w:rtl/>
        </w:rPr>
        <w:t>בהחלטתו מיום 20.07.2023 דחה את בקשת המערערת וכך קבע:-</w:t>
      </w:r>
      <w:r w:rsidR="008678F8">
        <w:rPr>
          <w:rFonts w:ascii="David" w:hAnsi="David" w:cs="David" w:hint="cs"/>
          <w:color w:val="000000"/>
          <w:sz w:val="24"/>
          <w:szCs w:val="24"/>
          <w:rtl/>
        </w:rPr>
        <w:t xml:space="preserve"> </w:t>
      </w:r>
    </w:p>
    <w:p w:rsidR="003B1428" w:rsidRPr="003B1428" w:rsidRDefault="003B1428" w:rsidP="003B1428">
      <w:pPr>
        <w:pStyle w:val="ad"/>
        <w:rPr>
          <w:rFonts w:ascii="David" w:hAnsi="David" w:cs="David"/>
          <w:color w:val="000000"/>
          <w:sz w:val="24"/>
          <w:szCs w:val="24"/>
          <w:rtl/>
        </w:rPr>
      </w:pPr>
    </w:p>
    <w:p w:rsidR="003B1428" w:rsidRPr="003B1428" w:rsidRDefault="003B1428" w:rsidP="001366EC">
      <w:pPr>
        <w:pStyle w:val="ad"/>
        <w:spacing w:line="360" w:lineRule="auto"/>
        <w:ind w:left="794" w:right="567"/>
        <w:jc w:val="both"/>
        <w:rPr>
          <w:rFonts w:ascii="David" w:hAnsi="David" w:cs="David"/>
          <w:b/>
          <w:bCs/>
          <w:color w:val="000000"/>
          <w:sz w:val="24"/>
          <w:szCs w:val="24"/>
          <w:rtl/>
        </w:rPr>
      </w:pPr>
      <w:r>
        <w:rPr>
          <w:rFonts w:ascii="David" w:hAnsi="David" w:cs="David" w:hint="cs"/>
          <w:color w:val="000000"/>
          <w:sz w:val="24"/>
          <w:szCs w:val="24"/>
          <w:rtl/>
        </w:rPr>
        <w:t>"</w:t>
      </w:r>
      <w:r w:rsidRPr="003B1428">
        <w:rPr>
          <w:rFonts w:ascii="David" w:hAnsi="David" w:cs="David" w:hint="cs"/>
          <w:b/>
          <w:bCs/>
          <w:color w:val="000000"/>
          <w:sz w:val="24"/>
          <w:szCs w:val="24"/>
          <w:rtl/>
        </w:rPr>
        <w:t>לאחר שעיינתי בתגובת המשיב ותשובת המבקשת לה, לא מצאתי מקום לצמצם את תחולת צו ההטרדה המאיימת שניתן ביום 16.04.2023, על כל תנאיו, ככל שהוא מתייחס למשיב בלבד. לעניין זה אטעים, כי התרשמתי שהדברים שנאמרו על ידי המשיב, בזמן אמת, במהלך הדיון שהתקיים בפניי ביום 20.04.2023, משקפים נאמנה יותר את כוונותיו ביחס למערכת היחסים עם בתה של המבקשת (הגב'</w:t>
      </w:r>
      <w:r w:rsidR="001366EC">
        <w:rPr>
          <w:rFonts w:ascii="David" w:hAnsi="David" w:cs="David" w:hint="cs"/>
          <w:b/>
          <w:bCs/>
          <w:color w:val="000000"/>
          <w:sz w:val="24"/>
          <w:szCs w:val="24"/>
        </w:rPr>
        <w:t xml:space="preserve">XXX </w:t>
      </w:r>
      <w:r w:rsidRPr="003B1428">
        <w:rPr>
          <w:rFonts w:ascii="David" w:hAnsi="David" w:cs="David" w:hint="cs"/>
          <w:b/>
          <w:bCs/>
          <w:color w:val="000000"/>
          <w:sz w:val="24"/>
          <w:szCs w:val="24"/>
          <w:rtl/>
        </w:rPr>
        <w:t>, להלן: "</w:t>
      </w:r>
      <w:r w:rsidR="001366EC">
        <w:rPr>
          <w:rFonts w:ascii="David" w:hAnsi="David" w:cs="David" w:hint="cs"/>
          <w:b/>
          <w:bCs/>
          <w:color w:val="000000"/>
          <w:sz w:val="24"/>
          <w:szCs w:val="24"/>
        </w:rPr>
        <w:t>XXX</w:t>
      </w:r>
      <w:r w:rsidRPr="003B1428">
        <w:rPr>
          <w:rFonts w:ascii="David" w:hAnsi="David" w:cs="David" w:hint="cs"/>
          <w:b/>
          <w:bCs/>
          <w:color w:val="000000"/>
          <w:sz w:val="24"/>
          <w:szCs w:val="24"/>
          <w:rtl/>
        </w:rPr>
        <w:t xml:space="preserve">"), שעה שהתגובה האחרונה מטעמו מיום </w:t>
      </w:r>
      <w:r w:rsidRPr="003B1428">
        <w:rPr>
          <w:rFonts w:ascii="David" w:hAnsi="David" w:cs="David" w:hint="cs"/>
          <w:b/>
          <w:bCs/>
          <w:color w:val="000000"/>
          <w:sz w:val="24"/>
          <w:szCs w:val="24"/>
          <w:rtl/>
        </w:rPr>
        <w:lastRenderedPageBreak/>
        <w:t xml:space="preserve">16.07.2023, הינה שיקוף רצונה של </w:t>
      </w:r>
      <w:r w:rsidR="001366EC">
        <w:rPr>
          <w:rFonts w:ascii="David" w:hAnsi="David" w:cs="David" w:hint="cs"/>
          <w:b/>
          <w:bCs/>
          <w:color w:val="000000"/>
          <w:sz w:val="24"/>
          <w:szCs w:val="24"/>
        </w:rPr>
        <w:t>XXX</w:t>
      </w:r>
      <w:r w:rsidR="001366EC" w:rsidRPr="003B1428">
        <w:rPr>
          <w:rFonts w:ascii="David" w:hAnsi="David" w:cs="David" w:hint="cs"/>
          <w:b/>
          <w:bCs/>
          <w:color w:val="000000"/>
          <w:sz w:val="24"/>
          <w:szCs w:val="24"/>
          <w:rtl/>
        </w:rPr>
        <w:t xml:space="preserve"> </w:t>
      </w:r>
      <w:r w:rsidRPr="003B1428">
        <w:rPr>
          <w:rFonts w:ascii="David" w:hAnsi="David" w:cs="David" w:hint="cs"/>
          <w:b/>
          <w:bCs/>
          <w:color w:val="000000"/>
          <w:sz w:val="24"/>
          <w:szCs w:val="24"/>
          <w:rtl/>
        </w:rPr>
        <w:t>דווקא לחידוש או המשך הקשר עם המשיב, בבחינת: "הקול קול יעקב והידיים ידי עשו".</w:t>
      </w:r>
    </w:p>
    <w:p w:rsidR="003B1428" w:rsidRDefault="003B1428" w:rsidP="001366EC">
      <w:pPr>
        <w:pStyle w:val="ad"/>
        <w:spacing w:line="360" w:lineRule="auto"/>
        <w:ind w:left="794" w:right="567"/>
        <w:jc w:val="both"/>
        <w:rPr>
          <w:rFonts w:ascii="David" w:hAnsi="David" w:cs="David"/>
          <w:color w:val="000000"/>
          <w:sz w:val="24"/>
          <w:szCs w:val="24"/>
          <w:rtl/>
        </w:rPr>
      </w:pPr>
      <w:r w:rsidRPr="003B1428">
        <w:rPr>
          <w:rFonts w:ascii="David" w:hAnsi="David" w:cs="David" w:hint="cs"/>
          <w:b/>
          <w:bCs/>
          <w:color w:val="000000"/>
          <w:sz w:val="24"/>
          <w:szCs w:val="24"/>
          <w:rtl/>
        </w:rPr>
        <w:t xml:space="preserve">למען הסר ספק, הצו אינו חל על </w:t>
      </w:r>
      <w:r w:rsidR="001366EC">
        <w:rPr>
          <w:rFonts w:ascii="David" w:hAnsi="David" w:cs="David" w:hint="cs"/>
          <w:b/>
          <w:bCs/>
          <w:color w:val="000000"/>
          <w:sz w:val="24"/>
          <w:szCs w:val="24"/>
        </w:rPr>
        <w:t>XXX</w:t>
      </w:r>
      <w:r w:rsidRPr="003B1428">
        <w:rPr>
          <w:rFonts w:ascii="David" w:hAnsi="David" w:cs="David" w:hint="cs"/>
          <w:b/>
          <w:bCs/>
          <w:color w:val="000000"/>
          <w:sz w:val="24"/>
          <w:szCs w:val="24"/>
          <w:rtl/>
        </w:rPr>
        <w:t>, במובן זה שאם היא תבחר מיוזמתה ורצונה שלה, לפנות או ליצור קשר עם המשיב, היא לא תחשב כמפרה אותו</w:t>
      </w:r>
      <w:r>
        <w:rPr>
          <w:rFonts w:ascii="David" w:hAnsi="David" w:cs="David" w:hint="cs"/>
          <w:color w:val="000000"/>
          <w:sz w:val="24"/>
          <w:szCs w:val="24"/>
          <w:rtl/>
        </w:rPr>
        <w:t>...".</w:t>
      </w:r>
    </w:p>
    <w:p w:rsidR="003B1428" w:rsidRPr="003B1428" w:rsidRDefault="003B1428" w:rsidP="003B1428">
      <w:pPr>
        <w:spacing w:line="360" w:lineRule="auto"/>
        <w:jc w:val="both"/>
        <w:rPr>
          <w:rFonts w:ascii="David" w:hAnsi="David"/>
          <w:color w:val="000000"/>
          <w:rtl/>
        </w:rPr>
      </w:pPr>
    </w:p>
    <w:p w:rsidR="003B1428" w:rsidRDefault="003B1428" w:rsidP="00454D62">
      <w:pPr>
        <w:pStyle w:val="ad"/>
        <w:numPr>
          <w:ilvl w:val="0"/>
          <w:numId w:val="1"/>
        </w:numPr>
        <w:spacing w:line="360" w:lineRule="auto"/>
        <w:ind w:left="84"/>
        <w:jc w:val="both"/>
        <w:rPr>
          <w:rFonts w:ascii="David" w:hAnsi="David" w:cs="David"/>
          <w:color w:val="000000"/>
          <w:sz w:val="24"/>
          <w:szCs w:val="24"/>
        </w:rPr>
      </w:pPr>
      <w:r>
        <w:rPr>
          <w:rFonts w:ascii="David" w:hAnsi="David" w:cs="David" w:hint="cs"/>
          <w:color w:val="000000"/>
          <w:sz w:val="24"/>
          <w:szCs w:val="24"/>
          <w:rtl/>
        </w:rPr>
        <w:t xml:space="preserve">המערערת, לא הסכימה </w:t>
      </w:r>
      <w:r w:rsidR="00120CEA">
        <w:rPr>
          <w:rFonts w:ascii="David" w:hAnsi="David" w:cs="David" w:hint="cs"/>
          <w:color w:val="000000"/>
          <w:sz w:val="24"/>
          <w:szCs w:val="24"/>
          <w:rtl/>
        </w:rPr>
        <w:t>עם תוצאה זו והגישה את ערעורה בפניי. בתמצית, טענה כי אין לקבל מצב בו בגירה כשירה הופכת לנפגעת או מבקשת בהליך משפטי ללא כל זכות להביע את עמדתה. מדובר בצו שיפוטי אותו המערערת לא ביקשה, קולה לא נשמע במהלך הדיון במעמד הצדדים, צו בית משפט קמא לא הומצא לה כדין ואין כל נפקות להסכמת המשיב כי צו בית משפט קמא יינ</w:t>
      </w:r>
      <w:r w:rsidR="00454D62">
        <w:rPr>
          <w:rFonts w:ascii="David" w:hAnsi="David" w:cs="David" w:hint="cs"/>
          <w:color w:val="000000"/>
          <w:sz w:val="24"/>
          <w:szCs w:val="24"/>
          <w:rtl/>
        </w:rPr>
        <w:t xml:space="preserve">תן גם ביחס אליה. המערערת טענה כי הותרת פסק דינו של בית משפט קמא והחלטתו תכשיר את הפגם ותסלול דרך מסוכנת לכל מאן דהוא המבקש למנוע קשר בין שני אנשים בגירים לעשות כן, ולבקש ולקבל צווים ביחס לאדם בגיר שקולו כלל לא נשמע במסגרת ההליך, והכל בניגוד לחוק. </w:t>
      </w:r>
      <w:r w:rsidR="00120CEA">
        <w:rPr>
          <w:rFonts w:ascii="David" w:hAnsi="David" w:cs="David" w:hint="cs"/>
          <w:color w:val="000000"/>
          <w:sz w:val="24"/>
          <w:szCs w:val="24"/>
          <w:rtl/>
        </w:rPr>
        <w:t xml:space="preserve"> </w:t>
      </w:r>
    </w:p>
    <w:p w:rsidR="00454D62" w:rsidRPr="00454D62" w:rsidRDefault="00454D62" w:rsidP="00454D62">
      <w:pPr>
        <w:spacing w:line="360" w:lineRule="auto"/>
        <w:jc w:val="both"/>
        <w:rPr>
          <w:rFonts w:ascii="David" w:hAnsi="David"/>
          <w:color w:val="000000"/>
        </w:rPr>
      </w:pPr>
    </w:p>
    <w:p w:rsidR="004D6FE2" w:rsidRDefault="00454D62" w:rsidP="00816F48">
      <w:pPr>
        <w:pStyle w:val="ad"/>
        <w:numPr>
          <w:ilvl w:val="0"/>
          <w:numId w:val="1"/>
        </w:numPr>
        <w:spacing w:line="360" w:lineRule="auto"/>
        <w:ind w:left="84"/>
        <w:jc w:val="both"/>
        <w:rPr>
          <w:rFonts w:ascii="David" w:hAnsi="David" w:cs="David"/>
          <w:color w:val="000000"/>
          <w:sz w:val="24"/>
          <w:szCs w:val="24"/>
        </w:rPr>
      </w:pPr>
      <w:r w:rsidRPr="00454D62">
        <w:rPr>
          <w:rFonts w:ascii="David" w:hAnsi="David" w:cs="David" w:hint="cs"/>
          <w:color w:val="000000"/>
          <w:sz w:val="24"/>
          <w:szCs w:val="24"/>
          <w:rtl/>
        </w:rPr>
        <w:t xml:space="preserve">עם קבלת הודעת הערעור, מצאתי לציין כי התרשמתי שבית משפט קמא, אשר התרשם מהצדדים שהופיעו בפניו, חפץ לשמור על טובתה של המערערת והתרשם כי בקשתה לביטול הצו היא בבחינת "הקול קול יעקב והידיים ידי עשיו". עם זאת, ציינתי כי </w:t>
      </w:r>
      <w:r w:rsidR="004D6FE2" w:rsidRPr="00454D62">
        <w:rPr>
          <w:rFonts w:ascii="David" w:hAnsi="David" w:cs="David"/>
          <w:b/>
          <w:bCs/>
          <w:color w:val="000000"/>
          <w:sz w:val="24"/>
          <w:szCs w:val="24"/>
          <w:rtl/>
        </w:rPr>
        <w:t>"דומני שאי</w:t>
      </w:r>
      <w:r>
        <w:rPr>
          <w:rFonts w:ascii="David" w:hAnsi="David" w:cs="David"/>
          <w:b/>
          <w:bCs/>
          <w:color w:val="000000"/>
          <w:sz w:val="24"/>
          <w:szCs w:val="24"/>
          <w:rtl/>
        </w:rPr>
        <w:t>ן מנוס אלא לקבל את עמדת המערערת</w:t>
      </w:r>
      <w:r>
        <w:rPr>
          <w:rFonts w:ascii="David" w:hAnsi="David" w:cs="David" w:hint="cs"/>
          <w:b/>
          <w:bCs/>
          <w:color w:val="000000"/>
          <w:sz w:val="24"/>
          <w:szCs w:val="24"/>
          <w:rtl/>
        </w:rPr>
        <w:t>. זה רצונה וזו חירותה לנהל את חייה כפי שהיא בוחרת לנהלם, גם אם אין הם בהכרח לטובתה</w:t>
      </w:r>
      <w:r w:rsidR="004D6FE2" w:rsidRPr="00454D62">
        <w:rPr>
          <w:rFonts w:ascii="David" w:hAnsi="David" w:cs="David"/>
          <w:b/>
          <w:bCs/>
          <w:color w:val="000000"/>
          <w:sz w:val="24"/>
          <w:szCs w:val="24"/>
          <w:rtl/>
        </w:rPr>
        <w:t>"</w:t>
      </w:r>
      <w:r>
        <w:rPr>
          <w:rFonts w:ascii="David" w:hAnsi="David" w:cs="David" w:hint="cs"/>
          <w:color w:val="000000"/>
          <w:sz w:val="24"/>
          <w:szCs w:val="24"/>
          <w:rtl/>
        </w:rPr>
        <w:t>. הצעתי לצדדים להסכים שהמילים "ו/או בתה" בצו בית משפט קמא יימחקו.</w:t>
      </w:r>
    </w:p>
    <w:p w:rsidR="00454D62" w:rsidRPr="00454D62" w:rsidRDefault="00454D62" w:rsidP="00454D62">
      <w:pPr>
        <w:pStyle w:val="ad"/>
        <w:rPr>
          <w:rFonts w:ascii="David" w:hAnsi="David" w:cs="David"/>
          <w:color w:val="000000"/>
          <w:sz w:val="24"/>
          <w:szCs w:val="24"/>
          <w:rtl/>
        </w:rPr>
      </w:pPr>
    </w:p>
    <w:p w:rsidR="00F1338A" w:rsidRDefault="00F1338A" w:rsidP="00F1338A">
      <w:pPr>
        <w:pStyle w:val="ad"/>
        <w:numPr>
          <w:ilvl w:val="0"/>
          <w:numId w:val="1"/>
        </w:numPr>
        <w:spacing w:line="360" w:lineRule="auto"/>
        <w:ind w:left="84"/>
        <w:jc w:val="both"/>
        <w:rPr>
          <w:rFonts w:ascii="David" w:hAnsi="David" w:cs="David"/>
          <w:color w:val="000000"/>
          <w:sz w:val="24"/>
          <w:szCs w:val="24"/>
        </w:rPr>
      </w:pPr>
      <w:r>
        <w:rPr>
          <w:rFonts w:ascii="David" w:hAnsi="David" w:cs="David" w:hint="cs"/>
          <w:color w:val="000000"/>
          <w:sz w:val="24"/>
          <w:szCs w:val="24"/>
          <w:rtl/>
        </w:rPr>
        <w:t xml:space="preserve">להצעתי הגיבה המשיבה 1 כי כל שינוי בהוראות צו בית משפט קמא כמוהו כמתן היתר למשיב 2 לשחרר את הרסן (שהוא עצמו ביקש לעצמו) ולעשות ככל שעולה על רוחו. המשיב 2 מהווה סיכון ממשי ורציני, ובנסיבות אלו, </w:t>
      </w:r>
      <w:r w:rsidRPr="00F1338A">
        <w:rPr>
          <w:rFonts w:ascii="David" w:hAnsi="David" w:cs="David" w:hint="cs"/>
          <w:color w:val="000000"/>
          <w:sz w:val="24"/>
          <w:szCs w:val="24"/>
          <w:rtl/>
        </w:rPr>
        <w:t xml:space="preserve">וכאשר מדובר בצו ארעי ונותרו עוד כחודשיים לפקיעתו, ביקשה המשיבה 1 כי בית המשפט </w:t>
      </w:r>
      <w:r>
        <w:rPr>
          <w:rFonts w:ascii="David" w:hAnsi="David" w:cs="David" w:hint="cs"/>
          <w:color w:val="000000"/>
          <w:sz w:val="24"/>
          <w:szCs w:val="24"/>
          <w:rtl/>
        </w:rPr>
        <w:t xml:space="preserve">לא יצמצם את הצו. המשיב 2 נתן הסכמתו להצעת בית המשפט והוסיף וטען כי אין מקום להשארת הצו אשר הוצא כנגדו וחל כלפי המערערת. המערערת עמדה על ערעורה כי יבוטלו ההוראות המתייחסות אליה בצו בית משפט קמא. </w:t>
      </w:r>
    </w:p>
    <w:p w:rsidR="00F1338A" w:rsidRPr="00F1338A" w:rsidRDefault="00F1338A" w:rsidP="00F1338A">
      <w:pPr>
        <w:pStyle w:val="ad"/>
        <w:rPr>
          <w:rFonts w:ascii="David" w:hAnsi="David" w:cs="David"/>
          <w:color w:val="000000"/>
          <w:sz w:val="24"/>
          <w:szCs w:val="24"/>
          <w:rtl/>
        </w:rPr>
      </w:pPr>
    </w:p>
    <w:p w:rsidR="00F1338A" w:rsidRDefault="00F1338A" w:rsidP="002756CD">
      <w:pPr>
        <w:pStyle w:val="ad"/>
        <w:numPr>
          <w:ilvl w:val="0"/>
          <w:numId w:val="1"/>
        </w:numPr>
        <w:spacing w:line="360" w:lineRule="auto"/>
        <w:ind w:left="84"/>
        <w:jc w:val="both"/>
        <w:rPr>
          <w:rFonts w:ascii="David" w:hAnsi="David" w:cs="David"/>
          <w:color w:val="000000"/>
          <w:sz w:val="24"/>
          <w:szCs w:val="24"/>
        </w:rPr>
      </w:pPr>
      <w:r w:rsidRPr="00F1338A">
        <w:rPr>
          <w:rFonts w:ascii="David" w:hAnsi="David" w:cs="David" w:hint="cs"/>
          <w:color w:val="000000"/>
          <w:sz w:val="24"/>
          <w:szCs w:val="24"/>
          <w:rtl/>
        </w:rPr>
        <w:t xml:space="preserve">על אף שמבינה אני היטב את רצונה של האם, המשיבה 1, להגן על בתה המערערת, אין היא יכולה להחליף את רצונה של המערערת, שהיא כאמור </w:t>
      </w:r>
      <w:r w:rsidR="004D6FE2" w:rsidRPr="00F1338A">
        <w:rPr>
          <w:rFonts w:ascii="David" w:hAnsi="David" w:cs="David"/>
          <w:color w:val="000000"/>
          <w:sz w:val="24"/>
          <w:szCs w:val="24"/>
          <w:rtl/>
        </w:rPr>
        <w:t xml:space="preserve">אדם חופשי, </w:t>
      </w:r>
      <w:r w:rsidRPr="00F1338A">
        <w:rPr>
          <w:rFonts w:ascii="David" w:hAnsi="David" w:cs="David" w:hint="cs"/>
          <w:color w:val="000000"/>
          <w:sz w:val="24"/>
          <w:szCs w:val="24"/>
          <w:rtl/>
        </w:rPr>
        <w:t xml:space="preserve">בגירה, </w:t>
      </w:r>
      <w:r w:rsidR="004D6FE2" w:rsidRPr="00F1338A">
        <w:rPr>
          <w:rFonts w:ascii="David" w:hAnsi="David" w:cs="David"/>
          <w:color w:val="000000"/>
          <w:sz w:val="24"/>
          <w:szCs w:val="24"/>
          <w:rtl/>
        </w:rPr>
        <w:t xml:space="preserve">בעלת כשרות לזכויות, </w:t>
      </w:r>
      <w:r w:rsidRPr="00F1338A">
        <w:rPr>
          <w:rFonts w:ascii="David" w:hAnsi="David" w:cs="David" w:hint="cs"/>
          <w:color w:val="000000"/>
          <w:sz w:val="24"/>
          <w:szCs w:val="24"/>
          <w:rtl/>
        </w:rPr>
        <w:t>ל</w:t>
      </w:r>
      <w:r w:rsidR="004D6FE2" w:rsidRPr="00F1338A">
        <w:rPr>
          <w:rFonts w:ascii="David" w:hAnsi="David" w:cs="David"/>
          <w:color w:val="000000"/>
          <w:sz w:val="24"/>
          <w:szCs w:val="24"/>
          <w:rtl/>
        </w:rPr>
        <w:t>חובות ו</w:t>
      </w:r>
      <w:r w:rsidRPr="00F1338A">
        <w:rPr>
          <w:rFonts w:ascii="David" w:hAnsi="David" w:cs="David" w:hint="cs"/>
          <w:color w:val="000000"/>
          <w:sz w:val="24"/>
          <w:szCs w:val="24"/>
          <w:rtl/>
        </w:rPr>
        <w:t>ל</w:t>
      </w:r>
      <w:r w:rsidR="004D6FE2" w:rsidRPr="00F1338A">
        <w:rPr>
          <w:rFonts w:ascii="David" w:hAnsi="David" w:cs="David"/>
          <w:color w:val="000000"/>
          <w:sz w:val="24"/>
          <w:szCs w:val="24"/>
          <w:rtl/>
        </w:rPr>
        <w:t>פעולות משפטיות. כשרותה המשפטית של המערערת לא הוגבל</w:t>
      </w:r>
      <w:r w:rsidRPr="00F1338A">
        <w:rPr>
          <w:rFonts w:ascii="David" w:hAnsi="David" w:cs="David" w:hint="cs"/>
          <w:color w:val="000000"/>
          <w:sz w:val="24"/>
          <w:szCs w:val="24"/>
          <w:rtl/>
        </w:rPr>
        <w:t>ה</w:t>
      </w:r>
      <w:r w:rsidR="004D6FE2" w:rsidRPr="00F1338A">
        <w:rPr>
          <w:rFonts w:ascii="David" w:hAnsi="David" w:cs="David"/>
          <w:color w:val="000000"/>
          <w:sz w:val="24"/>
          <w:szCs w:val="24"/>
          <w:rtl/>
        </w:rPr>
        <w:t>.</w:t>
      </w:r>
      <w:r>
        <w:rPr>
          <w:rFonts w:ascii="David" w:hAnsi="David" w:cs="David" w:hint="cs"/>
          <w:color w:val="000000"/>
          <w:sz w:val="24"/>
          <w:szCs w:val="24"/>
          <w:rtl/>
        </w:rPr>
        <w:t xml:space="preserve"> </w:t>
      </w:r>
    </w:p>
    <w:p w:rsidR="00F1338A" w:rsidRPr="00F1338A" w:rsidRDefault="00F1338A" w:rsidP="00F1338A">
      <w:pPr>
        <w:pStyle w:val="ad"/>
        <w:rPr>
          <w:rFonts w:ascii="David" w:hAnsi="David" w:cs="David"/>
          <w:color w:val="000000"/>
          <w:sz w:val="24"/>
          <w:szCs w:val="24"/>
          <w:rtl/>
        </w:rPr>
      </w:pPr>
    </w:p>
    <w:p w:rsidR="004D6FE2" w:rsidRPr="00F1338A" w:rsidRDefault="00763A1B" w:rsidP="00763A1B">
      <w:pPr>
        <w:pStyle w:val="ad"/>
        <w:numPr>
          <w:ilvl w:val="0"/>
          <w:numId w:val="1"/>
        </w:numPr>
        <w:spacing w:line="360" w:lineRule="auto"/>
        <w:ind w:left="84"/>
        <w:jc w:val="both"/>
        <w:rPr>
          <w:rFonts w:ascii="David" w:hAnsi="David" w:cs="David"/>
          <w:color w:val="000000"/>
          <w:sz w:val="24"/>
          <w:szCs w:val="24"/>
        </w:rPr>
      </w:pPr>
      <w:r>
        <w:rPr>
          <w:rFonts w:ascii="David" w:hAnsi="David" w:cs="David"/>
          <w:color w:val="000000"/>
          <w:sz w:val="24"/>
          <w:szCs w:val="24"/>
          <w:rtl/>
        </w:rPr>
        <w:t>זכאית המערערת</w:t>
      </w:r>
      <w:r>
        <w:rPr>
          <w:rFonts w:ascii="David" w:hAnsi="David" w:cs="David" w:hint="cs"/>
          <w:color w:val="000000"/>
          <w:sz w:val="24"/>
          <w:szCs w:val="24"/>
          <w:rtl/>
        </w:rPr>
        <w:t xml:space="preserve">, כחלק מחירותה ומזכויותיה הבסיסיות, לבחור </w:t>
      </w:r>
      <w:r w:rsidR="004D6FE2" w:rsidRPr="00F1338A">
        <w:rPr>
          <w:rFonts w:ascii="David" w:hAnsi="David" w:cs="David"/>
          <w:color w:val="000000"/>
          <w:sz w:val="24"/>
          <w:szCs w:val="24"/>
          <w:rtl/>
        </w:rPr>
        <w:t>מי יהיו ה</w:t>
      </w:r>
      <w:r>
        <w:rPr>
          <w:rFonts w:ascii="David" w:hAnsi="David" w:cs="David"/>
          <w:color w:val="000000"/>
          <w:sz w:val="24"/>
          <w:szCs w:val="24"/>
          <w:rtl/>
        </w:rPr>
        <w:t>אנשים עמה תתרועע ומי יבוא בקרבה</w:t>
      </w:r>
      <w:r>
        <w:rPr>
          <w:rFonts w:ascii="David" w:hAnsi="David" w:cs="David" w:hint="cs"/>
          <w:color w:val="000000"/>
          <w:sz w:val="24"/>
          <w:szCs w:val="24"/>
          <w:rtl/>
        </w:rPr>
        <w:t xml:space="preserve">, </w:t>
      </w:r>
      <w:r w:rsidRPr="00F1338A">
        <w:rPr>
          <w:rFonts w:ascii="David" w:hAnsi="David" w:cs="David"/>
          <w:color w:val="000000"/>
          <w:sz w:val="24"/>
          <w:szCs w:val="24"/>
          <w:rtl/>
        </w:rPr>
        <w:t>מי</w:t>
      </w:r>
      <w:r>
        <w:rPr>
          <w:rFonts w:ascii="David" w:hAnsi="David" w:cs="David"/>
          <w:color w:val="000000"/>
          <w:sz w:val="24"/>
          <w:szCs w:val="24"/>
          <w:rtl/>
        </w:rPr>
        <w:t xml:space="preserve"> מטריד אותה וממי היא מבקשת הגנה</w:t>
      </w:r>
      <w:r>
        <w:rPr>
          <w:rFonts w:ascii="David" w:hAnsi="David" w:cs="David" w:hint="cs"/>
          <w:color w:val="000000"/>
          <w:sz w:val="24"/>
          <w:szCs w:val="24"/>
          <w:rtl/>
        </w:rPr>
        <w:t>:-</w:t>
      </w:r>
    </w:p>
    <w:p w:rsidR="004D6FE2" w:rsidRDefault="004D6FE2" w:rsidP="004D6FE2">
      <w:pPr>
        <w:spacing w:line="360" w:lineRule="auto"/>
        <w:ind w:left="509" w:right="567"/>
        <w:jc w:val="both"/>
        <w:rPr>
          <w:rFonts w:ascii="David" w:hAnsi="David"/>
          <w:b/>
          <w:bCs/>
          <w:color w:val="000000"/>
          <w:rtl/>
        </w:rPr>
      </w:pPr>
    </w:p>
    <w:p w:rsidR="004D6FE2" w:rsidRDefault="004D6FE2" w:rsidP="004D6FE2">
      <w:pPr>
        <w:spacing w:line="360" w:lineRule="auto"/>
        <w:ind w:left="509" w:right="567"/>
        <w:jc w:val="both"/>
        <w:rPr>
          <w:rFonts w:ascii="David" w:hAnsi="David"/>
          <w:color w:val="000000"/>
          <w:rtl/>
        </w:rPr>
      </w:pPr>
      <w:r>
        <w:rPr>
          <w:rFonts w:ascii="David" w:hAnsi="David"/>
          <w:b/>
          <w:bCs/>
          <w:color w:val="000000"/>
          <w:rtl/>
        </w:rPr>
        <w:t xml:space="preserve">"הזכות לכבוד האדם מהווה אגד של זכויות ששמירתן נדרשת כדי לקיים את הכבוד. ביסוד הזכות לכבוד האדם עומדת ההכרה כי האדם הוא יצור חופשי, המפתח את גופו </w:t>
      </w:r>
      <w:r>
        <w:rPr>
          <w:rFonts w:ascii="David" w:hAnsi="David"/>
          <w:b/>
          <w:bCs/>
          <w:color w:val="000000"/>
          <w:rtl/>
        </w:rPr>
        <w:lastRenderedPageBreak/>
        <w:t xml:space="preserve">ורוחו על פי רצונו בחברה בה הוא חי; במרכזו של כבוד האדם מונחת קדושת חייו וחירותו. ביסוד כבוד האדם עומדים האוטונומיה של הרצון הפרטי, חופש הבחירה וחופש הפעולה של האדם כיצור חופשי" </w:t>
      </w:r>
      <w:r>
        <w:rPr>
          <w:rFonts w:ascii="David" w:hAnsi="David"/>
          <w:rtl/>
        </w:rPr>
        <w:t>(עיינו בג"ץ 6427/02 </w:t>
      </w:r>
      <w:r>
        <w:rPr>
          <w:rFonts w:ascii="David" w:hAnsi="David"/>
          <w:b/>
          <w:bCs/>
          <w:rtl/>
        </w:rPr>
        <w:t>התנועה לאיכות השלטון בישראל נ' הכנסת,</w:t>
      </w:r>
      <w:r>
        <w:rPr>
          <w:rFonts w:ascii="David" w:hAnsi="David"/>
        </w:rPr>
        <w:t xml:space="preserve"> </w:t>
      </w:r>
      <w:r>
        <w:rPr>
          <w:rFonts w:ascii="David" w:hAnsi="David"/>
          <w:rtl/>
        </w:rPr>
        <w:t>סא(1) 619 (2006)‏</w:t>
      </w:r>
      <w:r>
        <w:rPr>
          <w:rFonts w:ascii="David" w:hAnsi="David"/>
          <w:color w:val="000000"/>
          <w:rtl/>
        </w:rPr>
        <w:t>‏).</w:t>
      </w:r>
    </w:p>
    <w:p w:rsidR="004D6FE2" w:rsidRDefault="004D6FE2" w:rsidP="004D6FE2">
      <w:pPr>
        <w:spacing w:line="360" w:lineRule="auto"/>
        <w:ind w:left="509" w:right="567"/>
        <w:jc w:val="both"/>
        <w:rPr>
          <w:rFonts w:ascii="David" w:hAnsi="David"/>
          <w:color w:val="000000"/>
          <w:rtl/>
        </w:rPr>
      </w:pPr>
      <w:r>
        <w:rPr>
          <w:rFonts w:ascii="David" w:hAnsi="David"/>
          <w:color w:val="000000"/>
          <w:rtl/>
        </w:rPr>
        <w:t xml:space="preserve"> </w:t>
      </w:r>
    </w:p>
    <w:p w:rsidR="004D6FE2" w:rsidRDefault="00472676" w:rsidP="00472676">
      <w:pPr>
        <w:pStyle w:val="ad"/>
        <w:numPr>
          <w:ilvl w:val="0"/>
          <w:numId w:val="1"/>
        </w:numPr>
        <w:spacing w:line="360" w:lineRule="auto"/>
        <w:ind w:left="84"/>
        <w:jc w:val="both"/>
        <w:rPr>
          <w:rFonts w:ascii="David" w:hAnsi="David" w:cs="David"/>
          <w:color w:val="000000"/>
          <w:sz w:val="24"/>
          <w:szCs w:val="24"/>
        </w:rPr>
      </w:pPr>
      <w:r>
        <w:rPr>
          <w:rFonts w:ascii="David" w:hAnsi="David" w:cs="David" w:hint="cs"/>
          <w:color w:val="000000"/>
          <w:sz w:val="24"/>
          <w:szCs w:val="24"/>
          <w:rtl/>
        </w:rPr>
        <w:t xml:space="preserve">כאמור, מבינה אני את דאגתה של האם, דומני כי גם בית משפט קמא חפץ להגן על המערערת והמשיבה 1, אך </w:t>
      </w:r>
      <w:r w:rsidR="004D6FE2">
        <w:rPr>
          <w:rFonts w:ascii="David" w:hAnsi="David" w:cs="David"/>
          <w:color w:val="000000"/>
          <w:sz w:val="24"/>
          <w:szCs w:val="24"/>
          <w:rtl/>
        </w:rPr>
        <w:t xml:space="preserve">על אף רצונה הטוב של אם המערערת להגן על בתה, משהבהירה המערערת בפני בית המשפט כי צו </w:t>
      </w:r>
      <w:r>
        <w:rPr>
          <w:rFonts w:ascii="David" w:hAnsi="David" w:cs="David" w:hint="cs"/>
          <w:color w:val="000000"/>
          <w:sz w:val="24"/>
          <w:szCs w:val="24"/>
          <w:rtl/>
        </w:rPr>
        <w:t>ה</w:t>
      </w:r>
      <w:r w:rsidR="004D6FE2">
        <w:rPr>
          <w:rFonts w:ascii="David" w:hAnsi="David" w:cs="David"/>
          <w:color w:val="000000"/>
          <w:sz w:val="24"/>
          <w:szCs w:val="24"/>
          <w:rtl/>
        </w:rPr>
        <w:t>ה</w:t>
      </w:r>
      <w:r>
        <w:rPr>
          <w:rFonts w:ascii="David" w:hAnsi="David" w:cs="David" w:hint="cs"/>
          <w:color w:val="000000"/>
          <w:sz w:val="24"/>
          <w:szCs w:val="24"/>
          <w:rtl/>
        </w:rPr>
        <w:t xml:space="preserve">טרדה המאיימת </w:t>
      </w:r>
      <w:r w:rsidR="004D6FE2">
        <w:rPr>
          <w:rFonts w:ascii="David" w:hAnsi="David" w:cs="David"/>
          <w:color w:val="000000"/>
          <w:sz w:val="24"/>
          <w:szCs w:val="24"/>
          <w:rtl/>
        </w:rPr>
        <w:t>שהוצא לכאורה לטובתה ניתן מבלי שהשמיעה דעתה, מבלי שטענה טענותיה ומבלי שענתה לשאלה האם חפצה היא בצו שאמור להגן עליה מפני מאן דהוא או שמא מעוניינת היא להמשיך ולהתרועע עם מאן דהוא (משיב 2), דין הצו וההוראות שניתנו ביחס אליה - להתבטל.</w:t>
      </w:r>
    </w:p>
    <w:p w:rsidR="00472676" w:rsidRPr="00472676" w:rsidRDefault="00472676" w:rsidP="00472676">
      <w:pPr>
        <w:spacing w:line="360" w:lineRule="auto"/>
        <w:jc w:val="both"/>
        <w:rPr>
          <w:rFonts w:ascii="David" w:hAnsi="David"/>
          <w:color w:val="000000"/>
        </w:rPr>
      </w:pPr>
    </w:p>
    <w:p w:rsidR="00694556" w:rsidRPr="00472676" w:rsidRDefault="00472676" w:rsidP="00472676">
      <w:pPr>
        <w:pStyle w:val="ad"/>
        <w:numPr>
          <w:ilvl w:val="0"/>
          <w:numId w:val="1"/>
        </w:numPr>
        <w:spacing w:line="360" w:lineRule="auto"/>
        <w:ind w:left="84"/>
        <w:jc w:val="both"/>
        <w:rPr>
          <w:rFonts w:ascii="Arial" w:hAnsi="Arial"/>
        </w:rPr>
      </w:pPr>
      <w:r w:rsidRPr="00472676">
        <w:rPr>
          <w:rFonts w:ascii="David" w:hAnsi="David" w:cs="David" w:hint="cs"/>
          <w:color w:val="000000"/>
          <w:sz w:val="24"/>
          <w:szCs w:val="24"/>
          <w:rtl/>
        </w:rPr>
        <w:t xml:space="preserve">אשר </w:t>
      </w:r>
      <w:r>
        <w:rPr>
          <w:rFonts w:ascii="David" w:hAnsi="David" w:cs="David" w:hint="cs"/>
          <w:color w:val="000000"/>
          <w:sz w:val="24"/>
          <w:szCs w:val="24"/>
          <w:rtl/>
        </w:rPr>
        <w:t>על כן ולאור רצונה הברור של המערערת,</w:t>
      </w:r>
      <w:r w:rsidRPr="00472676">
        <w:rPr>
          <w:rFonts w:ascii="David" w:hAnsi="David" w:cs="David" w:hint="cs"/>
          <w:color w:val="000000"/>
          <w:sz w:val="24"/>
          <w:szCs w:val="24"/>
          <w:rtl/>
        </w:rPr>
        <w:t xml:space="preserve"> כל ההוראות בצו בית משפט קמא המתייחסות </w:t>
      </w:r>
      <w:r>
        <w:rPr>
          <w:rFonts w:ascii="David" w:hAnsi="David" w:cs="David" w:hint="cs"/>
          <w:color w:val="000000"/>
          <w:sz w:val="24"/>
          <w:szCs w:val="24"/>
          <w:rtl/>
        </w:rPr>
        <w:t xml:space="preserve">אליה </w:t>
      </w:r>
      <w:r w:rsidRPr="00472676">
        <w:rPr>
          <w:rFonts w:ascii="David" w:hAnsi="David" w:cs="David"/>
          <w:color w:val="000000"/>
          <w:sz w:val="24"/>
          <w:szCs w:val="24"/>
          <w:rtl/>
        </w:rPr>
        <w:t>–</w:t>
      </w:r>
      <w:r w:rsidRPr="00472676">
        <w:rPr>
          <w:rFonts w:ascii="David" w:hAnsi="David" w:cs="David" w:hint="cs"/>
          <w:color w:val="000000"/>
          <w:sz w:val="24"/>
          <w:szCs w:val="24"/>
          <w:rtl/>
        </w:rPr>
        <w:t xml:space="preserve"> בטלות</w:t>
      </w:r>
      <w:r>
        <w:rPr>
          <w:rFonts w:ascii="David" w:hAnsi="David" w:cs="David" w:hint="cs"/>
          <w:color w:val="000000"/>
          <w:sz w:val="24"/>
          <w:szCs w:val="24"/>
          <w:rtl/>
        </w:rPr>
        <w:t>. הערעור מתקבל.</w:t>
      </w:r>
    </w:p>
    <w:p w:rsidR="00472676" w:rsidRPr="00472676" w:rsidRDefault="00472676" w:rsidP="00472676">
      <w:pPr>
        <w:pStyle w:val="ad"/>
        <w:rPr>
          <w:rFonts w:ascii="Arial" w:hAnsi="Arial"/>
          <w:rtl/>
        </w:rPr>
      </w:pPr>
    </w:p>
    <w:p w:rsidR="00472676" w:rsidRPr="00D71BC6" w:rsidRDefault="00472676" w:rsidP="00472676">
      <w:pPr>
        <w:pStyle w:val="ad"/>
        <w:numPr>
          <w:ilvl w:val="0"/>
          <w:numId w:val="1"/>
        </w:numPr>
        <w:spacing w:line="360" w:lineRule="auto"/>
        <w:ind w:left="84"/>
        <w:jc w:val="both"/>
        <w:rPr>
          <w:rFonts w:ascii="Arial" w:hAnsi="Arial" w:cs="David"/>
          <w:sz w:val="24"/>
          <w:szCs w:val="24"/>
        </w:rPr>
      </w:pPr>
      <w:r w:rsidRPr="00D71BC6">
        <w:rPr>
          <w:rFonts w:ascii="Arial" w:hAnsi="Arial" w:cs="David" w:hint="cs"/>
          <w:sz w:val="24"/>
          <w:szCs w:val="24"/>
          <w:rtl/>
        </w:rPr>
        <w:t>פסק הדין מותר לפרסום בהשמטת פרטים מזהים.</w:t>
      </w:r>
    </w:p>
    <w:p w:rsidR="00472676" w:rsidRPr="00472676" w:rsidRDefault="00472676" w:rsidP="00472676">
      <w:pPr>
        <w:pStyle w:val="ad"/>
        <w:rPr>
          <w:rFonts w:ascii="Arial" w:hAnsi="Arial"/>
          <w:rtl/>
        </w:rPr>
      </w:pPr>
    </w:p>
    <w:p w:rsidR="00472676" w:rsidRDefault="00472676" w:rsidP="00472676">
      <w:pPr>
        <w:spacing w:line="360" w:lineRule="auto"/>
        <w:jc w:val="both"/>
        <w:rPr>
          <w:rFonts w:ascii="Arial" w:hAnsi="Arial"/>
          <w:rtl/>
        </w:rPr>
      </w:pPr>
      <w:r>
        <w:rPr>
          <w:rFonts w:ascii="Arial" w:hAnsi="Arial" w:hint="cs"/>
          <w:rtl/>
        </w:rPr>
        <w:t>המזכירות תמציא פסק הדין לצדדים ותסגור התיק.</w:t>
      </w:r>
    </w:p>
    <w:p w:rsidR="00472676" w:rsidRDefault="00472676" w:rsidP="00472676">
      <w:pPr>
        <w:spacing w:line="360" w:lineRule="auto"/>
        <w:jc w:val="both"/>
        <w:rPr>
          <w:rFonts w:ascii="Arial" w:hAnsi="Arial"/>
          <w:rtl/>
        </w:rPr>
      </w:pPr>
    </w:p>
    <w:p w:rsidR="00472676" w:rsidRPr="00472676" w:rsidRDefault="00472676" w:rsidP="00472676">
      <w:pPr>
        <w:spacing w:line="360" w:lineRule="auto"/>
        <w:jc w:val="both"/>
        <w:rPr>
          <w:rFonts w:ascii="Arial" w:hAnsi="Arial"/>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כ"א אב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08 אוגוסט 2023</w:t>
          </w:r>
        </w:sdtContent>
      </w:sdt>
      <w:r w:rsidR="00005C8B">
        <w:rPr>
          <w:rFonts w:ascii="Arial" w:hAnsi="Arial"/>
          <w:noProof w:val="0"/>
          <w:rtl/>
        </w:rPr>
        <w:t>, בהעדר הצדדים.</w:t>
      </w:r>
    </w:p>
    <w:p w:rsidR="00C43648" w:rsidRDefault="00291968"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4D6FE2">
      <w:pPr>
        <w:tabs>
          <w:tab w:val="left" w:pos="2553"/>
        </w:tabs>
        <w:bidi w:val="0"/>
      </w:pPr>
      <w:r>
        <w:rPr>
          <w:rFonts w:hint="cs"/>
          <w:rtl/>
        </w:rPr>
        <w:tab/>
      </w:r>
      <w:r>
        <w:rPr>
          <w:rFonts w:hint="cs"/>
          <w:rtl/>
        </w:rPr>
        <w:tab/>
      </w:r>
      <w:r>
        <w:rPr>
          <w:rFonts w:hint="cs"/>
          <w:rtl/>
        </w:rPr>
        <w:tab/>
      </w:r>
      <w:r>
        <w:rPr>
          <w:rFonts w:hint="cs"/>
          <w:rtl/>
        </w:rPr>
        <w:tab/>
        <w:t xml:space="preserve">        </w:t>
      </w:r>
      <w:sdt>
        <w:sdtPr>
          <w:alias w:val="MergeField"/>
          <w:tag w:val="1237"/>
          <w:id w:val="1036088232"/>
        </w:sdtPr>
        <w:sdtEndPr/>
        <w:sdtContent>
          <w:r w:rsidR="00BF107C">
            <w:drawing>
              <wp:inline distT="0" distB="0" distL="0" distR="0" wp14:editId="50D07946">
                <wp:extent cx="1352550" cy="1019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352550" cy="1019175"/>
                        </a:xfrm>
                        <a:prstGeom prst="rect">
                          <a:avLst/>
                        </a:prstGeom>
                      </pic:spPr>
                    </pic:pic>
                  </a:graphicData>
                </a:graphic>
              </wp:inline>
            </w:drawing>
          </w:r>
        </w:sdtContent>
      </w:sdt>
    </w:p>
    <w:p w:rsidR="00694556" w:rsidRDefault="00694556" w:rsidP="004D6FE2">
      <w:pPr>
        <w:tabs>
          <w:tab w:val="left" w:pos="2553"/>
        </w:tabs>
        <w:bidi w:val="0"/>
        <w:rPr>
          <w:rFonts w:ascii="Arial" w:hAnsi="Arial"/>
          <w:noProof w:val="0"/>
          <w:rtl/>
        </w:rPr>
      </w:pPr>
    </w:p>
    <w:sectPr w:rsidR="00694556" w:rsidSect="00891F42">
      <w:headerReference w:type="even" r:id="rId10"/>
      <w:headerReference w:type="default" r:id="rId11"/>
      <w:footerReference w:type="even" r:id="rId12"/>
      <w:footerReference w:type="default" r:id="rId13"/>
      <w:headerReference w:type="first" r:id="rId14"/>
      <w:footerReference w:type="first" r:id="rId15"/>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1968" w:rsidRDefault="00291968">
      <w:r>
        <w:separator/>
      </w:r>
    </w:p>
  </w:endnote>
  <w:endnote w:type="continuationSeparator" w:id="0">
    <w:p w:rsidR="00291968" w:rsidRDefault="00291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0A4F" w:rsidRDefault="00070A4F">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070A4F">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070A4F">
      <w:rPr>
        <w:rStyle w:val="ab"/>
        <w:rtl/>
      </w:rPr>
      <w:t>3</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0A4F" w:rsidRDefault="00070A4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1968" w:rsidRDefault="00291968">
      <w:r>
        <w:separator/>
      </w:r>
    </w:p>
  </w:footnote>
  <w:footnote w:type="continuationSeparator" w:id="0">
    <w:p w:rsidR="00291968" w:rsidRDefault="002919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0A4F" w:rsidRDefault="00070A4F">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4D6FE2">
      <w:trPr>
        <w:trHeight w:hRule="exact" w:val="704"/>
        <w:jc w:val="center"/>
      </w:trPr>
      <w:sdt>
        <w:sdtPr>
          <w:rPr>
            <w:rFonts w:ascii="Tahoma" w:hAnsi="Tahoma"/>
            <w:color w:val="000080"/>
            <w:sz w:val="32"/>
            <w:szCs w:val="32"/>
            <w:rtl/>
          </w:rPr>
          <w:alias w:val="1174"/>
          <w:tag w:val="1174"/>
          <w:id w:val="-1585920285"/>
          <w:text w:multiLine="1"/>
        </w:sdtPr>
        <w:sdtEndPr/>
        <w:sdtContent>
          <w:tc>
            <w:tcPr>
              <w:tcW w:w="8307" w:type="dxa"/>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rsidTr="004D6FE2">
      <w:trPr>
        <w:trHeight w:val="337"/>
        <w:jc w:val="center"/>
      </w:trPr>
      <w:tc>
        <w:tcPr>
          <w:tcW w:w="8307" w:type="dxa"/>
        </w:tcPr>
        <w:p w:rsidR="008D10B2" w:rsidRPr="004D6FE2" w:rsidRDefault="00291968" w:rsidP="001366EC">
          <w:pPr>
            <w:rPr>
              <w:b/>
              <w:bCs/>
              <w:noProof w:val="0"/>
              <w:sz w:val="26"/>
              <w:szCs w:val="26"/>
              <w:rtl/>
            </w:rPr>
          </w:pPr>
          <w:sdt>
            <w:sdtPr>
              <w:rPr>
                <w:rtl/>
              </w:rPr>
              <w:alias w:val="1170"/>
              <w:tag w:val="1170"/>
              <w:id w:val="1066377040"/>
              <w:text w:multiLine="1"/>
            </w:sdtPr>
            <w:sdtEndPr/>
            <w:sdtContent>
              <w:r w:rsidR="00B859C5">
                <w:rPr>
                  <w:b/>
                  <w:bCs/>
                  <w:noProof w:val="0"/>
                  <w:sz w:val="26"/>
                  <w:szCs w:val="26"/>
                  <w:rtl/>
                </w:rPr>
                <w:t>עמ"ש</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B859C5">
                <w:rPr>
                  <w:b/>
                  <w:bCs/>
                  <w:noProof w:val="0"/>
                  <w:sz w:val="26"/>
                  <w:szCs w:val="26"/>
                  <w:rtl/>
                </w:rPr>
                <w:t>69058-07-23</w:t>
              </w:r>
            </w:sdtContent>
          </w:sdt>
          <w:bookmarkEnd w:id="1"/>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B859C5">
                <w:rPr>
                  <w:b/>
                  <w:bCs/>
                  <w:noProof w:val="0"/>
                  <w:sz w:val="26"/>
                  <w:szCs w:val="26"/>
                  <w:rtl/>
                </w:rPr>
                <w:t>פ</w:t>
              </w:r>
              <w:r w:rsidR="001366EC">
                <w:rPr>
                  <w:rFonts w:hint="cs"/>
                  <w:b/>
                  <w:bCs/>
                  <w:noProof w:val="0"/>
                  <w:sz w:val="26"/>
                  <w:szCs w:val="26"/>
                  <w:rtl/>
                </w:rPr>
                <w:t>'</w:t>
              </w:r>
              <w:r w:rsidR="00B859C5">
                <w:rPr>
                  <w:b/>
                  <w:bCs/>
                  <w:noProof w:val="0"/>
                  <w:sz w:val="26"/>
                  <w:szCs w:val="26"/>
                  <w:rtl/>
                </w:rPr>
                <w:t xml:space="preserve"> נ' פ</w:t>
              </w:r>
              <w:r w:rsidR="001366EC">
                <w:rPr>
                  <w:rFonts w:hint="cs"/>
                  <w:b/>
                  <w:bCs/>
                  <w:noProof w:val="0"/>
                  <w:sz w:val="26"/>
                  <w:szCs w:val="26"/>
                  <w:rtl/>
                </w:rPr>
                <w:t xml:space="preserve">' </w:t>
              </w:r>
              <w:r w:rsidR="00B859C5">
                <w:rPr>
                  <w:b/>
                  <w:bCs/>
                  <w:noProof w:val="0"/>
                  <w:sz w:val="26"/>
                  <w:szCs w:val="26"/>
                  <w:rtl/>
                </w:rPr>
                <w:t>ואח'</w:t>
              </w:r>
            </w:sdtContent>
          </w:sdt>
          <w:r w:rsidR="007C2453">
            <w:rPr>
              <w:b/>
              <w:bCs/>
              <w:noProof w:val="0"/>
              <w:sz w:val="26"/>
              <w:szCs w:val="26"/>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0A4F" w:rsidRDefault="00070A4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DE5B2E"/>
    <w:multiLevelType w:val="hybridMultilevel"/>
    <w:tmpl w:val="7CC059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690526F0"/>
    <w:multiLevelType w:val="hybridMultilevel"/>
    <w:tmpl w:val="256E2F62"/>
    <w:lvl w:ilvl="0" w:tplc="13283DCC">
      <w:start w:val="1"/>
      <w:numFmt w:val="decimal"/>
      <w:lvlText w:val="%1."/>
      <w:lvlJc w:val="left"/>
      <w:pPr>
        <w:ind w:left="720" w:hanging="360"/>
      </w:pPr>
      <w:rPr>
        <w:rFonts w:ascii="Arial" w:hAnsi="Arial" w:hint="default"/>
        <w:b/>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529D2"/>
    <w:rsid w:val="000564AB"/>
    <w:rsid w:val="00064FBD"/>
    <w:rsid w:val="00070A4F"/>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0CEA"/>
    <w:rsid w:val="00122A9F"/>
    <w:rsid w:val="001366EC"/>
    <w:rsid w:val="001367BC"/>
    <w:rsid w:val="00144D2A"/>
    <w:rsid w:val="0014653E"/>
    <w:rsid w:val="00180519"/>
    <w:rsid w:val="00191C82"/>
    <w:rsid w:val="001C4003"/>
    <w:rsid w:val="001D0A6E"/>
    <w:rsid w:val="001D4DBF"/>
    <w:rsid w:val="001E75CA"/>
    <w:rsid w:val="002265FF"/>
    <w:rsid w:val="00265B1C"/>
    <w:rsid w:val="00271B56"/>
    <w:rsid w:val="00272E32"/>
    <w:rsid w:val="00291968"/>
    <w:rsid w:val="002B7003"/>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B1428"/>
    <w:rsid w:val="003D1C8C"/>
    <w:rsid w:val="003E38C7"/>
    <w:rsid w:val="0040096C"/>
    <w:rsid w:val="00414F1F"/>
    <w:rsid w:val="0043125D"/>
    <w:rsid w:val="0043502B"/>
    <w:rsid w:val="004443AC"/>
    <w:rsid w:val="00444B02"/>
    <w:rsid w:val="00451E28"/>
    <w:rsid w:val="00454D62"/>
    <w:rsid w:val="00462C62"/>
    <w:rsid w:val="00465D36"/>
    <w:rsid w:val="00472676"/>
    <w:rsid w:val="004C17EE"/>
    <w:rsid w:val="004C4BDF"/>
    <w:rsid w:val="004D1187"/>
    <w:rsid w:val="004D3AA0"/>
    <w:rsid w:val="004D6FE2"/>
    <w:rsid w:val="004E1987"/>
    <w:rsid w:val="004E2E15"/>
    <w:rsid w:val="004E6E3C"/>
    <w:rsid w:val="00520898"/>
    <w:rsid w:val="00523621"/>
    <w:rsid w:val="00524986"/>
    <w:rsid w:val="005268F6"/>
    <w:rsid w:val="00534284"/>
    <w:rsid w:val="00547DB7"/>
    <w:rsid w:val="00557717"/>
    <w:rsid w:val="00576A86"/>
    <w:rsid w:val="00577B7E"/>
    <w:rsid w:val="005F4F09"/>
    <w:rsid w:val="00603F73"/>
    <w:rsid w:val="0061431B"/>
    <w:rsid w:val="00622BAA"/>
    <w:rsid w:val="006306CF"/>
    <w:rsid w:val="00644E9A"/>
    <w:rsid w:val="00671BD5"/>
    <w:rsid w:val="006805C1"/>
    <w:rsid w:val="00686C21"/>
    <w:rsid w:val="006931C1"/>
    <w:rsid w:val="00694556"/>
    <w:rsid w:val="006C30C5"/>
    <w:rsid w:val="006D3B31"/>
    <w:rsid w:val="006E0D96"/>
    <w:rsid w:val="006E1A53"/>
    <w:rsid w:val="006F56E6"/>
    <w:rsid w:val="00701E04"/>
    <w:rsid w:val="00704EDA"/>
    <w:rsid w:val="00721122"/>
    <w:rsid w:val="00734689"/>
    <w:rsid w:val="007351F7"/>
    <w:rsid w:val="00753019"/>
    <w:rsid w:val="00754801"/>
    <w:rsid w:val="00761441"/>
    <w:rsid w:val="00763A1B"/>
    <w:rsid w:val="00795365"/>
    <w:rsid w:val="007A351D"/>
    <w:rsid w:val="007B7765"/>
    <w:rsid w:val="007C2453"/>
    <w:rsid w:val="007C5BDD"/>
    <w:rsid w:val="007C7398"/>
    <w:rsid w:val="007D45E3"/>
    <w:rsid w:val="007E6115"/>
    <w:rsid w:val="007F4609"/>
    <w:rsid w:val="00805EFF"/>
    <w:rsid w:val="00814468"/>
    <w:rsid w:val="008176A1"/>
    <w:rsid w:val="00820005"/>
    <w:rsid w:val="00844318"/>
    <w:rsid w:val="00860102"/>
    <w:rsid w:val="00863F5D"/>
    <w:rsid w:val="008678F8"/>
    <w:rsid w:val="00870890"/>
    <w:rsid w:val="00873602"/>
    <w:rsid w:val="00875D12"/>
    <w:rsid w:val="00876170"/>
    <w:rsid w:val="0088479D"/>
    <w:rsid w:val="00891F42"/>
    <w:rsid w:val="00896889"/>
    <w:rsid w:val="008A6E97"/>
    <w:rsid w:val="008C5714"/>
    <w:rsid w:val="008D10B2"/>
    <w:rsid w:val="00903896"/>
    <w:rsid w:val="00906F3D"/>
    <w:rsid w:val="0094424E"/>
    <w:rsid w:val="00955642"/>
    <w:rsid w:val="009622DF"/>
    <w:rsid w:val="0096493F"/>
    <w:rsid w:val="00967DFF"/>
    <w:rsid w:val="00994341"/>
    <w:rsid w:val="009D1A48"/>
    <w:rsid w:val="009E1CE7"/>
    <w:rsid w:val="009E461A"/>
    <w:rsid w:val="009E4EA5"/>
    <w:rsid w:val="009F164B"/>
    <w:rsid w:val="009F323C"/>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809AD"/>
    <w:rsid w:val="00B80CBD"/>
    <w:rsid w:val="00B84018"/>
    <w:rsid w:val="00B859C5"/>
    <w:rsid w:val="00B86096"/>
    <w:rsid w:val="00B964D9"/>
    <w:rsid w:val="00BA0A7C"/>
    <w:rsid w:val="00BA517C"/>
    <w:rsid w:val="00BB3D05"/>
    <w:rsid w:val="00BB53D3"/>
    <w:rsid w:val="00BB73BE"/>
    <w:rsid w:val="00BC2D89"/>
    <w:rsid w:val="00BD6531"/>
    <w:rsid w:val="00BE05B2"/>
    <w:rsid w:val="00BF107C"/>
    <w:rsid w:val="00BF1908"/>
    <w:rsid w:val="00C22D93"/>
    <w:rsid w:val="00C23458"/>
    <w:rsid w:val="00C23AC9"/>
    <w:rsid w:val="00C31120"/>
    <w:rsid w:val="00C34482"/>
    <w:rsid w:val="00C43648"/>
    <w:rsid w:val="00C50A9F"/>
    <w:rsid w:val="00C642FA"/>
    <w:rsid w:val="00C770E3"/>
    <w:rsid w:val="00C81646"/>
    <w:rsid w:val="00CC7622"/>
    <w:rsid w:val="00CD608F"/>
    <w:rsid w:val="00CF6BB7"/>
    <w:rsid w:val="00D04AA4"/>
    <w:rsid w:val="00D27982"/>
    <w:rsid w:val="00D33B86"/>
    <w:rsid w:val="00D44968"/>
    <w:rsid w:val="00D53924"/>
    <w:rsid w:val="00D55D0C"/>
    <w:rsid w:val="00D71BC6"/>
    <w:rsid w:val="00D96D8C"/>
    <w:rsid w:val="00DA6649"/>
    <w:rsid w:val="00DC1259"/>
    <w:rsid w:val="00DC1BD2"/>
    <w:rsid w:val="00DC2571"/>
    <w:rsid w:val="00DC487C"/>
    <w:rsid w:val="00DD05A8"/>
    <w:rsid w:val="00DD4335"/>
    <w:rsid w:val="00DE08FC"/>
    <w:rsid w:val="00DE1E7D"/>
    <w:rsid w:val="00DE6BF6"/>
    <w:rsid w:val="00E00709"/>
    <w:rsid w:val="00E1068A"/>
    <w:rsid w:val="00E25884"/>
    <w:rsid w:val="00E25B55"/>
    <w:rsid w:val="00E31C2B"/>
    <w:rsid w:val="00E373F7"/>
    <w:rsid w:val="00E456B8"/>
    <w:rsid w:val="00E5426A"/>
    <w:rsid w:val="00E54642"/>
    <w:rsid w:val="00E80CBE"/>
    <w:rsid w:val="00E9269D"/>
    <w:rsid w:val="00E962E3"/>
    <w:rsid w:val="00EB1EB5"/>
    <w:rsid w:val="00EB6C79"/>
    <w:rsid w:val="00EC37E9"/>
    <w:rsid w:val="00F038D8"/>
    <w:rsid w:val="00F06995"/>
    <w:rsid w:val="00F12D66"/>
    <w:rsid w:val="00F1338A"/>
    <w:rsid w:val="00F13623"/>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4D6FE2"/>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60680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6732A4" w:rsidP="006732A4">
          <w:pPr>
            <w:pStyle w:val="E460D38E05664FF79D4EFF282EF8EC9926"/>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817811" w:rsidP="00817811">
          <w:pPr>
            <w:pStyle w:val="F5EF4663D5094D57BB3FEC6B89CF5C8E3"/>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817811" w:rsidP="00817811">
          <w:pPr>
            <w:pStyle w:val="7D8E46D2581B4CD9ACC623ACA7D52F753"/>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817811" w:rsidP="00817811">
          <w:pPr>
            <w:pStyle w:val="C3B0FBA23B684176B12DDEEA2C39785F3"/>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B38E5"/>
    <w:rsid w:val="002D02C4"/>
    <w:rsid w:val="00345C9D"/>
    <w:rsid w:val="0048651F"/>
    <w:rsid w:val="005157ED"/>
    <w:rsid w:val="005171E8"/>
    <w:rsid w:val="00556D67"/>
    <w:rsid w:val="006732A4"/>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732A4"/>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6732A4"/>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E80466-3AD2-4A12-9370-79CAAE5BD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782</Words>
  <Characters>3913</Characters>
  <Application>Microsoft Office Word</Application>
  <DocSecurity>0</DocSecurity>
  <Lines>32</Lines>
  <Paragraphs>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2023-08-16T10:39:00Z</dcterms:created>
  <dcterms:modified xsi:type="dcterms:W3CDTF">2023-08-16T10:39:00Z</dcterms:modified>
</cp:coreProperties>
</file>